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6" w:type="pct"/>
        <w:jc w:val="center"/>
        <w:tblLayout w:type="fixed"/>
        <w:tblLook w:val="04A0"/>
      </w:tblPr>
      <w:tblGrid>
        <w:gridCol w:w="420"/>
        <w:gridCol w:w="563"/>
        <w:gridCol w:w="425"/>
        <w:gridCol w:w="371"/>
        <w:gridCol w:w="283"/>
        <w:gridCol w:w="1336"/>
        <w:gridCol w:w="22"/>
        <w:gridCol w:w="261"/>
        <w:gridCol w:w="988"/>
        <w:gridCol w:w="283"/>
        <w:gridCol w:w="425"/>
        <w:gridCol w:w="288"/>
        <w:gridCol w:w="283"/>
        <w:gridCol w:w="425"/>
        <w:gridCol w:w="365"/>
        <w:gridCol w:w="283"/>
        <w:gridCol w:w="1363"/>
        <w:gridCol w:w="973"/>
        <w:gridCol w:w="275"/>
        <w:gridCol w:w="7"/>
      </w:tblGrid>
      <w:tr w:rsidR="00BD6265" w:rsidTr="00E67B44">
        <w:trPr>
          <w:trHeight w:val="1984"/>
          <w:jc w:val="center"/>
        </w:trPr>
        <w:tc>
          <w:tcPr>
            <w:tcW w:w="9639" w:type="dxa"/>
            <w:gridSpan w:val="20"/>
          </w:tcPr>
          <w:p w:rsidR="00BD6265" w:rsidRPr="001A02DE" w:rsidRDefault="00BD6265" w:rsidP="00E67B44">
            <w:pPr>
              <w:pStyle w:val="a0"/>
              <w:spacing w:line="240" w:lineRule="auto"/>
              <w:jc w:val="center"/>
              <w:rPr>
                <w:rStyle w:val="af3"/>
              </w:rPr>
            </w:pPr>
            <w:r w:rsidRPr="001A02DE">
              <w:rPr>
                <w:rStyle w:val="af3"/>
              </w:rPr>
              <w:t>Министерство науки и высшего образования</w:t>
            </w:r>
          </w:p>
          <w:p w:rsidR="00BD6265" w:rsidRPr="008D4580" w:rsidRDefault="00BD6265" w:rsidP="00E67B44">
            <w:pPr>
              <w:pStyle w:val="a0"/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aps/>
                <w:sz w:val="28"/>
              </w:rPr>
            </w:pPr>
            <w:r w:rsidRPr="001A02DE">
              <w:rPr>
                <w:rStyle w:val="af3"/>
                <w:smallCaps w:val="0"/>
              </w:rPr>
              <w:t>Федеральное государственное бюджетное учреждение науки</w:t>
            </w:r>
            <w:r w:rsidRPr="001A02DE">
              <w:rPr>
                <w:rStyle w:val="af3"/>
              </w:rPr>
              <w:t xml:space="preserve"> </w:t>
            </w:r>
            <w:r w:rsidRPr="001A02DE">
              <w:rPr>
                <w:rStyle w:val="af3"/>
              </w:rPr>
              <w:br/>
              <w:t xml:space="preserve">Институт ядерной физики им. Г. И. </w:t>
            </w:r>
            <w:proofErr w:type="spellStart"/>
            <w:r w:rsidRPr="001A02DE">
              <w:rPr>
                <w:rStyle w:val="af3"/>
              </w:rPr>
              <w:t>Будкера</w:t>
            </w:r>
            <w:proofErr w:type="spellEnd"/>
            <w:r w:rsidRPr="001A02DE">
              <w:rPr>
                <w:rStyle w:val="af3"/>
              </w:rPr>
              <w:t xml:space="preserve"> </w:t>
            </w:r>
            <w:r w:rsidRPr="001A02DE">
              <w:rPr>
                <w:rStyle w:val="af3"/>
              </w:rPr>
              <w:br/>
              <w:t>Сибирского отделения Российской академии наук</w:t>
            </w:r>
          </w:p>
        </w:tc>
      </w:tr>
      <w:tr w:rsidR="00BD6265" w:rsidTr="00582CAD">
        <w:trPr>
          <w:trHeight w:hRule="exact" w:val="707"/>
          <w:jc w:val="center"/>
        </w:trPr>
        <w:tc>
          <w:tcPr>
            <w:tcW w:w="4669" w:type="dxa"/>
            <w:gridSpan w:val="9"/>
            <w:vAlign w:val="center"/>
          </w:tcPr>
          <w:p w:rsidR="00BD6265" w:rsidRPr="000D1884" w:rsidRDefault="00BD6265" w:rsidP="00E67B44">
            <w:pPr>
              <w:pStyle w:val="a0"/>
              <w:spacing w:after="0" w:line="240" w:lineRule="auto"/>
              <w:contextualSpacing/>
              <w:jc w:val="left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 xml:space="preserve">УДК </w:t>
            </w:r>
            <w:r w:rsidR="007504F5" w:rsidRPr="004B3524">
              <w:rPr>
                <w:rStyle w:val="af3"/>
                <w:rFonts w:ascii="Times New Roman" w:hAnsi="Times New Roman" w:cs="Times New Roman"/>
                <w:szCs w:val="28"/>
              </w:rPr>
              <w:t>621.384.659</w:t>
            </w:r>
          </w:p>
        </w:tc>
        <w:tc>
          <w:tcPr>
            <w:tcW w:w="283" w:type="dxa"/>
            <w:vMerge w:val="restart"/>
            <w:vAlign w:val="center"/>
          </w:tcPr>
          <w:p w:rsidR="00BD6265" w:rsidRPr="000D1884" w:rsidRDefault="00BD6265" w:rsidP="00E67B44">
            <w:pPr>
              <w:pStyle w:val="a0"/>
              <w:spacing w:after="0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4687" w:type="dxa"/>
            <w:gridSpan w:val="10"/>
            <w:vAlign w:val="center"/>
          </w:tcPr>
          <w:p w:rsidR="00BD6265" w:rsidRPr="000D1884" w:rsidRDefault="00BD6265" w:rsidP="00E67B44">
            <w:pPr>
              <w:pStyle w:val="a0"/>
              <w:spacing w:after="0"/>
              <w:jc w:val="left"/>
              <w:rPr>
                <w:rStyle w:val="af3"/>
                <w:sz w:val="28"/>
                <w:szCs w:val="28"/>
              </w:rPr>
            </w:pPr>
          </w:p>
        </w:tc>
      </w:tr>
      <w:tr w:rsidR="00BD6265" w:rsidTr="00582CAD">
        <w:trPr>
          <w:trHeight w:hRule="exact" w:val="986"/>
          <w:jc w:val="center"/>
        </w:trPr>
        <w:tc>
          <w:tcPr>
            <w:tcW w:w="4669" w:type="dxa"/>
            <w:gridSpan w:val="9"/>
          </w:tcPr>
          <w:p w:rsidR="00BD6265" w:rsidRPr="000D1884" w:rsidRDefault="00BD6265" w:rsidP="00BD6265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  <w:r w:rsidRPr="000D1884">
              <w:rPr>
                <w:rStyle w:val="af3"/>
                <w:sz w:val="28"/>
                <w:szCs w:val="28"/>
              </w:rPr>
              <w:t>Согласовано</w:t>
            </w:r>
            <w:r w:rsidRPr="000D1884">
              <w:rPr>
                <w:rStyle w:val="af3"/>
                <w:sz w:val="28"/>
                <w:szCs w:val="28"/>
              </w:rPr>
              <w:br/>
            </w:r>
            <w:r w:rsidRPr="000D1884">
              <w:rPr>
                <w:rStyle w:val="af3"/>
                <w:smallCaps w:val="0"/>
                <w:sz w:val="28"/>
                <w:szCs w:val="28"/>
              </w:rPr>
              <w:t>Научный руководитель</w:t>
            </w:r>
          </w:p>
        </w:tc>
        <w:tc>
          <w:tcPr>
            <w:tcW w:w="283" w:type="dxa"/>
            <w:vMerge/>
            <w:vAlign w:val="bottom"/>
          </w:tcPr>
          <w:p w:rsidR="00BD6265" w:rsidRPr="000D1884" w:rsidRDefault="00BD6265" w:rsidP="00E67B44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4687" w:type="dxa"/>
            <w:gridSpan w:val="10"/>
          </w:tcPr>
          <w:p w:rsidR="00BD6265" w:rsidRPr="000D1884" w:rsidRDefault="00BD6265" w:rsidP="000D1884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  <w:r w:rsidRPr="000D1884">
              <w:rPr>
                <w:rStyle w:val="af3"/>
                <w:sz w:val="28"/>
                <w:szCs w:val="28"/>
              </w:rPr>
              <w:t>Утверждаю</w:t>
            </w:r>
            <w:r w:rsidRPr="000D1884">
              <w:rPr>
                <w:rStyle w:val="af3"/>
                <w:sz w:val="28"/>
                <w:szCs w:val="28"/>
              </w:rPr>
              <w:br/>
            </w:r>
            <w:r w:rsidRPr="000D1884">
              <w:rPr>
                <w:rStyle w:val="af3"/>
                <w:smallCaps w:val="0"/>
                <w:sz w:val="28"/>
                <w:szCs w:val="28"/>
              </w:rPr>
              <w:t>Начальник отдела аспирантуры ИЯФ СО РАН</w:t>
            </w:r>
          </w:p>
        </w:tc>
      </w:tr>
      <w:tr w:rsidR="00BD6265" w:rsidTr="00582CAD">
        <w:trPr>
          <w:trHeight w:hRule="exact" w:val="567"/>
          <w:jc w:val="center"/>
        </w:trPr>
        <w:tc>
          <w:tcPr>
            <w:tcW w:w="1779" w:type="dxa"/>
            <w:gridSpan w:val="4"/>
            <w:tcBorders>
              <w:bottom w:val="single" w:sz="4" w:space="0" w:color="auto"/>
            </w:tcBorders>
            <w:vAlign w:val="center"/>
          </w:tcPr>
          <w:p w:rsidR="00BD6265" w:rsidRPr="000D1884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BD6265" w:rsidRPr="000D1884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2607" w:type="dxa"/>
            <w:gridSpan w:val="4"/>
            <w:vAlign w:val="bottom"/>
          </w:tcPr>
          <w:p w:rsidR="00BD6265" w:rsidRPr="000D1884" w:rsidRDefault="008D1B69" w:rsidP="00BD6265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  <w:sz w:val="28"/>
                <w:szCs w:val="28"/>
              </w:rPr>
            </w:pPr>
            <w:r>
              <w:rPr>
                <w:rStyle w:val="af3"/>
                <w:smallCaps w:val="0"/>
                <w:sz w:val="28"/>
                <w:szCs w:val="28"/>
              </w:rPr>
              <w:t>С. Ю. Таскаев</w:t>
            </w:r>
          </w:p>
        </w:tc>
        <w:tc>
          <w:tcPr>
            <w:tcW w:w="283" w:type="dxa"/>
            <w:vMerge/>
            <w:vAlign w:val="center"/>
          </w:tcPr>
          <w:p w:rsidR="00BD6265" w:rsidRPr="000D1884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E67B44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D6265" w:rsidRPr="000D1884" w:rsidRDefault="00BD6265" w:rsidP="00E67B44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vAlign w:val="bottom"/>
          </w:tcPr>
          <w:p w:rsidR="00BD6265" w:rsidRPr="000D1884" w:rsidRDefault="000D1884" w:rsidP="000D1884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С</w:t>
            </w:r>
            <w:r w:rsidR="00BD6265" w:rsidRPr="000D1884">
              <w:rPr>
                <w:rStyle w:val="af3"/>
                <w:smallCaps w:val="0"/>
                <w:sz w:val="28"/>
                <w:szCs w:val="28"/>
              </w:rPr>
              <w:t xml:space="preserve">. В. </w:t>
            </w:r>
            <w:proofErr w:type="spellStart"/>
            <w:r w:rsidRPr="000D1884">
              <w:rPr>
                <w:rStyle w:val="af3"/>
                <w:smallCaps w:val="0"/>
                <w:sz w:val="28"/>
                <w:szCs w:val="28"/>
              </w:rPr>
              <w:t>Полосаткин</w:t>
            </w:r>
            <w:proofErr w:type="spellEnd"/>
          </w:p>
        </w:tc>
      </w:tr>
      <w:tr w:rsidR="00BD6265" w:rsidRPr="008D1B69" w:rsidTr="00582CAD">
        <w:trPr>
          <w:gridAfter w:val="1"/>
          <w:wAfter w:w="7" w:type="dxa"/>
          <w:trHeight w:hRule="exact" w:val="567"/>
          <w:jc w:val="center"/>
        </w:trPr>
        <w:tc>
          <w:tcPr>
            <w:tcW w:w="420" w:type="dxa"/>
            <w:vAlign w:val="bottom"/>
          </w:tcPr>
          <w:p w:rsidR="00BD6265" w:rsidRPr="000D1884" w:rsidRDefault="00BD6265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0D1884" w:rsidRDefault="00BD6265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»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bottom"/>
          </w:tcPr>
          <w:p w:rsidR="00BD6265" w:rsidRPr="008D1B69" w:rsidRDefault="008D1B69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8D1B69">
              <w:rPr>
                <w:rStyle w:val="af3"/>
                <w:smallCaps w:val="0"/>
                <w:sz w:val="28"/>
                <w:szCs w:val="28"/>
              </w:rPr>
              <w:t>2022</w:t>
            </w:r>
            <w:r w:rsidR="00BD6265" w:rsidRPr="008D1B69">
              <w:rPr>
                <w:rStyle w:val="af3"/>
                <w:smallCaps w:val="0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  <w:vMerge/>
            <w:vAlign w:val="center"/>
          </w:tcPr>
          <w:p w:rsidR="00BD6265" w:rsidRPr="008D1B69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8D1B69" w:rsidRDefault="00BD6265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8D1B69">
              <w:rPr>
                <w:rStyle w:val="af3"/>
                <w:smallCaps w:val="0"/>
                <w:sz w:val="28"/>
                <w:szCs w:val="28"/>
              </w:rPr>
              <w:t>«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bottom"/>
          </w:tcPr>
          <w:p w:rsidR="00BD6265" w:rsidRPr="008D1B69" w:rsidRDefault="00BD6265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8D1B69" w:rsidRDefault="00BD6265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8D1B69">
              <w:rPr>
                <w:rStyle w:val="af3"/>
                <w:smallCaps w:val="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bottom"/>
          </w:tcPr>
          <w:p w:rsidR="00BD6265" w:rsidRPr="008D1B69" w:rsidRDefault="00BD6265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bottom"/>
          </w:tcPr>
          <w:p w:rsidR="00BD6265" w:rsidRPr="008D1B69" w:rsidRDefault="008D1B69" w:rsidP="00E67B44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8D1B69">
              <w:rPr>
                <w:rStyle w:val="af3"/>
                <w:smallCaps w:val="0"/>
                <w:sz w:val="28"/>
                <w:szCs w:val="28"/>
              </w:rPr>
              <w:t>2022</w:t>
            </w:r>
            <w:r w:rsidR="00BD6265" w:rsidRPr="008D1B69">
              <w:rPr>
                <w:rStyle w:val="af3"/>
                <w:smallCaps w:val="0"/>
                <w:sz w:val="28"/>
                <w:szCs w:val="28"/>
              </w:rPr>
              <w:t xml:space="preserve"> г.</w:t>
            </w:r>
          </w:p>
        </w:tc>
      </w:tr>
      <w:tr w:rsidR="00BD6265" w:rsidTr="00E67B44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E67B44">
        <w:trPr>
          <w:trHeight w:hRule="exact" w:val="851"/>
          <w:jc w:val="center"/>
        </w:trPr>
        <w:tc>
          <w:tcPr>
            <w:tcW w:w="9639" w:type="dxa"/>
            <w:gridSpan w:val="20"/>
            <w:vAlign w:val="center"/>
          </w:tcPr>
          <w:p w:rsidR="00BD6265" w:rsidRPr="001A02DE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  <w:r>
              <w:rPr>
                <w:rStyle w:val="af3"/>
              </w:rPr>
              <w:t xml:space="preserve">Отчёт </w:t>
            </w:r>
            <w:r>
              <w:rPr>
                <w:rStyle w:val="af3"/>
              </w:rPr>
              <w:br/>
            </w:r>
            <w:r w:rsidRPr="007C40A8">
              <w:rPr>
                <w:rStyle w:val="af3"/>
              </w:rPr>
              <w:t>о научно-исследовательской работе</w:t>
            </w:r>
          </w:p>
        </w:tc>
      </w:tr>
      <w:tr w:rsidR="00BD6265" w:rsidTr="00E67B44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Pr="007C40A8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582CAD">
        <w:trPr>
          <w:trHeight w:hRule="exact" w:val="3987"/>
          <w:jc w:val="center"/>
        </w:trPr>
        <w:tc>
          <w:tcPr>
            <w:tcW w:w="9639" w:type="dxa"/>
            <w:gridSpan w:val="20"/>
            <w:vAlign w:val="center"/>
          </w:tcPr>
          <w:p w:rsidR="00175848" w:rsidRPr="00175848" w:rsidRDefault="00175848" w:rsidP="00175848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  <w:szCs w:val="32"/>
              </w:rPr>
            </w:pPr>
            <w:r>
              <w:rPr>
                <w:sz w:val="32"/>
                <w:szCs w:val="32"/>
              </w:rPr>
              <w:t>ВАЛИДАЦИЯ ПУЧКА НЕЙТРОНОВ ДЛЯ БОР-НЕЙТРОНОЗАХВАТНОЙ ТЕРАПИИ</w:t>
            </w:r>
            <w:r w:rsidRPr="00175848">
              <w:rPr>
                <w:sz w:val="32"/>
                <w:szCs w:val="32"/>
              </w:rPr>
              <w:t>.</w:t>
            </w:r>
          </w:p>
          <w:p w:rsidR="00175848" w:rsidRPr="00175848" w:rsidRDefault="00BD6265" w:rsidP="00175848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  <w:szCs w:val="32"/>
              </w:rPr>
            </w:pPr>
            <w:r w:rsidRPr="009E0B0A">
              <w:rPr>
                <w:rStyle w:val="af3"/>
                <w:smallCaps w:val="0"/>
              </w:rPr>
              <w:t>по теме:</w:t>
            </w:r>
            <w:r>
              <w:rPr>
                <w:rStyle w:val="af3"/>
                <w:smallCaps w:val="0"/>
              </w:rPr>
              <w:br/>
            </w:r>
            <w:r w:rsidR="00175848">
              <w:rPr>
                <w:sz w:val="32"/>
                <w:szCs w:val="32"/>
              </w:rPr>
              <w:t>ВАЛИДАЦИЯ ПУЧКА НЕЙТРОНОВ ДЛЯ БОР-НЕЙТРОНОЗАХВАТНОЙ ТЕРАПИИ</w:t>
            </w:r>
            <w:r w:rsidR="00175848" w:rsidRPr="00175848">
              <w:rPr>
                <w:sz w:val="32"/>
                <w:szCs w:val="32"/>
              </w:rPr>
              <w:t>.</w:t>
            </w:r>
          </w:p>
          <w:p w:rsidR="00BD6265" w:rsidRPr="009E0B0A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</w:p>
        </w:tc>
      </w:tr>
      <w:tr w:rsidR="00BD6265" w:rsidTr="00E67B44">
        <w:trPr>
          <w:trHeight w:hRule="exact" w:val="567"/>
          <w:jc w:val="center"/>
        </w:trPr>
        <w:tc>
          <w:tcPr>
            <w:tcW w:w="9639" w:type="dxa"/>
            <w:gridSpan w:val="20"/>
            <w:vAlign w:val="center"/>
          </w:tcPr>
          <w:p w:rsidR="000D1884" w:rsidRPr="000D1884" w:rsidRDefault="00BD6265" w:rsidP="000D1884">
            <w:pPr>
              <w:pStyle w:val="a0"/>
              <w:spacing w:after="0" w:line="240" w:lineRule="auto"/>
              <w:jc w:val="center"/>
              <w:rPr>
                <w:bCs/>
                <w:spacing w:val="5"/>
                <w:sz w:val="32"/>
              </w:rPr>
            </w:pPr>
            <w:r w:rsidRPr="009E0B0A">
              <w:rPr>
                <w:rStyle w:val="af3"/>
                <w:smallCaps w:val="0"/>
              </w:rPr>
              <w:t>(</w:t>
            </w:r>
            <w:r w:rsidR="000D1884">
              <w:rPr>
                <w:rStyle w:val="af3"/>
                <w:smallCaps w:val="0"/>
              </w:rPr>
              <w:t xml:space="preserve">За </w:t>
            </w:r>
            <w:r w:rsidR="008D1B69" w:rsidRPr="008D1B69">
              <w:rPr>
                <w:rStyle w:val="af3"/>
                <w:smallCaps w:val="0"/>
                <w:lang w:val="en-US"/>
              </w:rPr>
              <w:t>I</w:t>
            </w:r>
            <w:r w:rsidR="000D1884" w:rsidRPr="000D1884">
              <w:rPr>
                <w:rStyle w:val="af3"/>
                <w:smallCaps w:val="0"/>
              </w:rPr>
              <w:t xml:space="preserve"> </w:t>
            </w:r>
            <w:r w:rsidR="000D1884">
              <w:rPr>
                <w:rStyle w:val="af3"/>
                <w:smallCaps w:val="0"/>
              </w:rPr>
              <w:t>семестр обучения в аспирантуре</w:t>
            </w:r>
            <w:r w:rsidRPr="009E0B0A">
              <w:rPr>
                <w:rStyle w:val="af3"/>
                <w:smallCaps w:val="0"/>
              </w:rPr>
              <w:t>)</w:t>
            </w:r>
          </w:p>
        </w:tc>
      </w:tr>
      <w:tr w:rsidR="000D1884" w:rsidTr="008D1B69">
        <w:trPr>
          <w:trHeight w:hRule="exact" w:val="819"/>
          <w:jc w:val="center"/>
        </w:trPr>
        <w:tc>
          <w:tcPr>
            <w:tcW w:w="9639" w:type="dxa"/>
            <w:gridSpan w:val="20"/>
            <w:vAlign w:val="center"/>
          </w:tcPr>
          <w:p w:rsidR="000D1884" w:rsidRPr="00582CAD" w:rsidRDefault="000D1884" w:rsidP="000D1884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  <w:szCs w:val="32"/>
              </w:rPr>
            </w:pPr>
            <w:r w:rsidRPr="00582CAD">
              <w:rPr>
                <w:sz w:val="32"/>
                <w:szCs w:val="32"/>
              </w:rPr>
              <w:t xml:space="preserve">Специальность </w:t>
            </w:r>
            <w:r w:rsidR="008D1B69" w:rsidRPr="008D1B69">
              <w:rPr>
                <w:sz w:val="32"/>
                <w:szCs w:val="32"/>
              </w:rPr>
              <w:t>01.03.1</w:t>
            </w:r>
            <w:r w:rsidRPr="008D1B69">
              <w:rPr>
                <w:sz w:val="32"/>
                <w:szCs w:val="32"/>
              </w:rPr>
              <w:t xml:space="preserve">8 </w:t>
            </w:r>
            <w:r w:rsidR="008D1B69" w:rsidRPr="008D1B69">
              <w:rPr>
                <w:sz w:val="32"/>
                <w:szCs w:val="32"/>
              </w:rPr>
              <w:t>Физика пучков заряженных частиц и ускорительная техника</w:t>
            </w:r>
          </w:p>
        </w:tc>
      </w:tr>
      <w:tr w:rsidR="00BD6265" w:rsidTr="00E67B44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Pr="007C40A8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582CAD">
        <w:trPr>
          <w:gridAfter w:val="1"/>
          <w:wAfter w:w="7" w:type="dxa"/>
          <w:trHeight w:hRule="exact" w:val="1389"/>
          <w:jc w:val="center"/>
        </w:trPr>
        <w:tc>
          <w:tcPr>
            <w:tcW w:w="3398" w:type="dxa"/>
            <w:gridSpan w:val="6"/>
            <w:vAlign w:val="bottom"/>
          </w:tcPr>
          <w:p w:rsidR="00BD6265" w:rsidRPr="001A02DE" w:rsidRDefault="00582CAD" w:rsidP="00E67B44">
            <w:pPr>
              <w:pStyle w:val="a0"/>
              <w:spacing w:after="0" w:line="240" w:lineRule="auto"/>
              <w:jc w:val="right"/>
              <w:rPr>
                <w:rStyle w:val="af3"/>
                <w:smallCaps w:val="0"/>
              </w:rPr>
            </w:pPr>
            <w:r>
              <w:rPr>
                <w:rStyle w:val="af3"/>
                <w:smallCaps w:val="0"/>
              </w:rPr>
              <w:t>Аспирант</w:t>
            </w:r>
          </w:p>
        </w:tc>
        <w:tc>
          <w:tcPr>
            <w:tcW w:w="283" w:type="dxa"/>
            <w:gridSpan w:val="2"/>
            <w:vAlign w:val="bottom"/>
          </w:tcPr>
          <w:p w:rsidR="00BD6265" w:rsidRPr="001A02DE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p w:rsidR="00BD6265" w:rsidRPr="001A02DE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283" w:type="dxa"/>
            <w:vAlign w:val="bottom"/>
          </w:tcPr>
          <w:p w:rsidR="00BD6265" w:rsidRPr="001A02DE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3409" w:type="dxa"/>
            <w:gridSpan w:val="5"/>
            <w:vAlign w:val="bottom"/>
          </w:tcPr>
          <w:p w:rsidR="00BD6265" w:rsidRPr="00175848" w:rsidRDefault="00175848" w:rsidP="007504F5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</w:rPr>
            </w:pPr>
            <w:r>
              <w:rPr>
                <w:rStyle w:val="af3"/>
                <w:smallCaps w:val="0"/>
              </w:rPr>
              <w:t>Г.Д. Верховод</w:t>
            </w:r>
          </w:p>
        </w:tc>
        <w:tc>
          <w:tcPr>
            <w:tcW w:w="275" w:type="dxa"/>
            <w:vAlign w:val="center"/>
          </w:tcPr>
          <w:p w:rsidR="00BD6265" w:rsidRPr="001A02DE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E67B44">
        <w:trPr>
          <w:trHeight w:hRule="exact" w:val="397"/>
          <w:jc w:val="center"/>
        </w:trPr>
        <w:tc>
          <w:tcPr>
            <w:tcW w:w="9639" w:type="dxa"/>
            <w:gridSpan w:val="20"/>
            <w:vAlign w:val="center"/>
          </w:tcPr>
          <w:p w:rsidR="00BD6265" w:rsidRPr="001A02DE" w:rsidRDefault="00BD6265" w:rsidP="00E67B44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E67B44">
        <w:trPr>
          <w:trHeight w:hRule="exact" w:val="425"/>
          <w:jc w:val="center"/>
        </w:trPr>
        <w:tc>
          <w:tcPr>
            <w:tcW w:w="9639" w:type="dxa"/>
            <w:gridSpan w:val="20"/>
            <w:vAlign w:val="bottom"/>
          </w:tcPr>
          <w:p w:rsidR="00BD6265" w:rsidRPr="001A02DE" w:rsidRDefault="00BD6265" w:rsidP="00CA6035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  <w:r w:rsidRPr="001A02DE">
              <w:rPr>
                <w:rStyle w:val="af3"/>
              </w:rPr>
              <w:t xml:space="preserve">Новосибирск </w:t>
            </w:r>
            <w:r w:rsidRPr="00CA6035">
              <w:rPr>
                <w:rStyle w:val="af3"/>
              </w:rPr>
              <w:t>20</w:t>
            </w:r>
            <w:r w:rsidR="00CA6035">
              <w:rPr>
                <w:rStyle w:val="af3"/>
              </w:rPr>
              <w:t>22</w:t>
            </w:r>
          </w:p>
        </w:tc>
      </w:tr>
    </w:tbl>
    <w:sdt>
      <w:sdtPr>
        <w:id w:val="-348562260"/>
        <w:docPartObj>
          <w:docPartGallery w:val="Cover Pages"/>
          <w:docPartUnique/>
        </w:docPartObj>
      </w:sdtPr>
      <w:sdtContent>
        <w:p w:rsidR="008D4580" w:rsidRDefault="008D4580">
          <w:pPr>
            <w:ind w:firstLine="0"/>
            <w:jc w:val="left"/>
          </w:pPr>
          <w:r>
            <w:br w:type="page"/>
          </w:r>
        </w:p>
      </w:sdtContent>
    </w:sdt>
    <w:p w:rsidR="008D4580" w:rsidRPr="00701631" w:rsidRDefault="00701631" w:rsidP="003F0860">
      <w:pPr>
        <w:pStyle w:val="-1"/>
      </w:pPr>
      <w:bookmarkStart w:id="0" w:name="_Toc530425083"/>
      <w:bookmarkStart w:id="1" w:name="_Toc530425265"/>
      <w:bookmarkStart w:id="2" w:name="_Toc94609822"/>
      <w:r>
        <w:lastRenderedPageBreak/>
        <w:t>Реферат</w:t>
      </w:r>
      <w:bookmarkEnd w:id="0"/>
      <w:bookmarkEnd w:id="1"/>
      <w:bookmarkEnd w:id="2"/>
    </w:p>
    <w:p w:rsidR="00701631" w:rsidRDefault="00701631" w:rsidP="00701631">
      <w:r w:rsidRPr="00A36F09">
        <w:t>Отч</w:t>
      </w:r>
      <w:r w:rsidR="0070234F" w:rsidRPr="00A36F09">
        <w:t>ё</w:t>
      </w:r>
      <w:r w:rsidRPr="00A36F09">
        <w:t xml:space="preserve">т </w:t>
      </w:r>
      <w:r w:rsidR="00821812">
        <w:t>1</w:t>
      </w:r>
      <w:r w:rsidR="00821812" w:rsidRPr="00821812">
        <w:t>0</w:t>
      </w:r>
      <w:r w:rsidRPr="00A36F09">
        <w:t xml:space="preserve"> с.</w:t>
      </w:r>
      <w:r w:rsidR="0070234F" w:rsidRPr="00A36F09">
        <w:t>,</w:t>
      </w:r>
      <w:r w:rsidRPr="00A36F09">
        <w:t xml:space="preserve"> </w:t>
      </w:r>
      <w:r w:rsidR="00821812">
        <w:rPr>
          <w:lang w:val="en-US"/>
        </w:rPr>
        <w:t>5</w:t>
      </w:r>
      <w:r w:rsidRPr="00A36F09">
        <w:t xml:space="preserve"> рис., </w:t>
      </w:r>
      <w:r w:rsidR="00A36F09" w:rsidRPr="00A36F09">
        <w:t>3</w:t>
      </w:r>
      <w:r w:rsidRPr="00A36F09">
        <w:t xml:space="preserve"> </w:t>
      </w:r>
      <w:proofErr w:type="spellStart"/>
      <w:r w:rsidRPr="00A36F09">
        <w:t>источ</w:t>
      </w:r>
      <w:r w:rsidR="0070234F" w:rsidRPr="00A36F09">
        <w:t>н</w:t>
      </w:r>
      <w:proofErr w:type="spellEnd"/>
      <w:r w:rsidRPr="00A36F09">
        <w:t>.</w:t>
      </w:r>
    </w:p>
    <w:p w:rsidR="00175848" w:rsidRDefault="00175848" w:rsidP="00701631">
      <w:r>
        <w:t xml:space="preserve">БОР-НЕЙТРОНОЗАХВАТНАЯ ТЕРАПИЯ, СЦИНТИЛЛЯТОРНЫЕ ДЕТЕКТОРЫ, УСКОРИТЕЛЬ-ТАНДЕМ С ВАКУУМНОЙ ИЗОЛЯЦИЕЙ, </w:t>
      </w:r>
      <w:r w:rsidR="000744B2">
        <w:t>КАЛИБРОВКА</w:t>
      </w:r>
      <w:r>
        <w:t xml:space="preserve"> БОРН</w:t>
      </w:r>
      <w:r w:rsidR="000744B2">
        <w:t>ОЙ</w:t>
      </w:r>
      <w:r>
        <w:t xml:space="preserve"> ДОЗ</w:t>
      </w:r>
      <w:r w:rsidR="000744B2">
        <w:t>Ы</w:t>
      </w:r>
      <w:r>
        <w:t>, ГАММА-СПЕКТРОМЕТР</w:t>
      </w:r>
      <w:r w:rsidR="000744B2">
        <w:t>, МОДЕРАТОР.</w:t>
      </w:r>
    </w:p>
    <w:p w:rsidR="00175848" w:rsidRDefault="00175848" w:rsidP="00023ECD">
      <w:r>
        <w:t xml:space="preserve">Целью работы в первом семестре обучения </w:t>
      </w:r>
      <w:r w:rsidR="000744B2">
        <w:t>в 1 семестре было составить план эксперимента для дальнейшей калибровки борного сцинтилляторного датчика, а также подготовка необходимого оборудования для предстоящих исследований на основе ускорителя-тандема с вакуумной изоляцией.</w:t>
      </w:r>
    </w:p>
    <w:p w:rsidR="000744B2" w:rsidRDefault="000744B2" w:rsidP="000744B2">
      <w:r>
        <w:t xml:space="preserve">В ходе подготовки к исследованию были также освоены материалы по гамма-спектроскопии для применения </w:t>
      </w:r>
      <w:r w:rsidR="004C4A0B">
        <w:t>спектрометра энергии гамма-излучения с полупроводниковым детектором (ППД). Также был поднят вопрос о концентрации бора и его однородности в литьевом сцинтилляторном детекторе, в ходе которого принято решение о проведении эксперимента по точному измерению данных параметров. В результате был подготовлен полный план эксперимента, который будет проведен в первом квартале 2022 года, согласно рабочему плану первого года обучения аспиранта.</w:t>
      </w:r>
    </w:p>
    <w:p w:rsidR="004C4A0B" w:rsidRDefault="004C4A0B" w:rsidP="000744B2"/>
    <w:p w:rsidR="004C4A0B" w:rsidRPr="00D90639" w:rsidRDefault="004C4A0B" w:rsidP="000744B2"/>
    <w:p w:rsidR="000744B2" w:rsidRDefault="000744B2" w:rsidP="00023ECD"/>
    <w:p w:rsidR="000744B2" w:rsidRPr="000744B2" w:rsidRDefault="000744B2" w:rsidP="00023ECD"/>
    <w:p w:rsidR="00175848" w:rsidRDefault="00175848" w:rsidP="00023ECD"/>
    <w:p w:rsidR="00175848" w:rsidRDefault="00175848" w:rsidP="00023ECD"/>
    <w:sdt>
      <w:sdtPr>
        <w:id w:val="12767957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4"/>
          <w:szCs w:val="22"/>
        </w:rPr>
      </w:sdtEndPr>
      <w:sdtContent>
        <w:p w:rsidR="00821812" w:rsidRDefault="00821812" w:rsidP="00821812">
          <w:pPr>
            <w:pStyle w:val="af4"/>
            <w:numPr>
              <w:ilvl w:val="0"/>
              <w:numId w:val="0"/>
            </w:numPr>
            <w:ind w:left="431"/>
            <w:jc w:val="left"/>
          </w:pPr>
          <w:r>
            <w:t>Оглавление</w:t>
          </w:r>
        </w:p>
        <w:p w:rsidR="00821812" w:rsidRDefault="00821812" w:rsidP="00821812">
          <w:pPr>
            <w:pStyle w:val="11"/>
            <w:tabs>
              <w:tab w:val="right" w:leader="dot" w:pos="9344"/>
            </w:tabs>
            <w:jc w:val="left"/>
            <w:rPr>
              <w:rFonts w:eastAsiaTheme="minorEastAsia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609822" w:history="1">
            <w:r w:rsidRPr="001D20EF">
              <w:rPr>
                <w:rStyle w:val="afc"/>
                <w:noProof/>
              </w:rPr>
              <w:t>Реферат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_Toc94609822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1812" w:rsidRDefault="00821812" w:rsidP="00821812">
          <w:pPr>
            <w:pStyle w:val="11"/>
            <w:tabs>
              <w:tab w:val="right" w:leader="dot" w:pos="9344"/>
            </w:tabs>
            <w:jc w:val="left"/>
            <w:rPr>
              <w:rFonts w:eastAsiaTheme="minorEastAsia"/>
              <w:noProof/>
              <w:sz w:val="22"/>
              <w:lang w:eastAsia="ru-RU"/>
            </w:rPr>
          </w:pPr>
          <w:hyperlink w:anchor="_Toc94609823" w:history="1">
            <w:r w:rsidRPr="001D20EF">
              <w:rPr>
                <w:rStyle w:val="afc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_Toc94609823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1812" w:rsidRDefault="00821812" w:rsidP="00821812">
          <w:pPr>
            <w:pStyle w:val="11"/>
            <w:tabs>
              <w:tab w:val="right" w:leader="dot" w:pos="9344"/>
            </w:tabs>
            <w:jc w:val="left"/>
            <w:rPr>
              <w:rFonts w:eastAsiaTheme="minorEastAsia"/>
              <w:noProof/>
              <w:sz w:val="22"/>
              <w:lang w:eastAsia="ru-RU"/>
            </w:rPr>
          </w:pPr>
          <w:hyperlink w:anchor="_Toc94609826" w:history="1">
            <w:r w:rsidRPr="001D20EF">
              <w:rPr>
                <w:rStyle w:val="afc"/>
                <w:noProof/>
              </w:rPr>
              <w:t>Полученные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_Toc94609826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1812" w:rsidRDefault="00821812" w:rsidP="00821812">
          <w:pPr>
            <w:pStyle w:val="11"/>
            <w:tabs>
              <w:tab w:val="right" w:leader="dot" w:pos="9344"/>
            </w:tabs>
            <w:jc w:val="left"/>
            <w:rPr>
              <w:rFonts w:eastAsiaTheme="minorEastAsia"/>
              <w:noProof/>
              <w:sz w:val="22"/>
              <w:lang w:eastAsia="ru-RU"/>
            </w:rPr>
          </w:pPr>
          <w:hyperlink w:anchor="_Toc94609829" w:history="1">
            <w:r w:rsidRPr="001D20EF">
              <w:rPr>
                <w:rStyle w:val="afc"/>
                <w:noProof/>
              </w:rPr>
              <w:t>Калибровка борного сцинтиллятора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_Toc94609829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1812" w:rsidRDefault="00821812" w:rsidP="00821812">
          <w:pPr>
            <w:pStyle w:val="11"/>
            <w:tabs>
              <w:tab w:val="right" w:leader="dot" w:pos="9344"/>
            </w:tabs>
            <w:jc w:val="left"/>
            <w:rPr>
              <w:rFonts w:eastAsiaTheme="minorEastAsia"/>
              <w:noProof/>
              <w:sz w:val="22"/>
              <w:lang w:eastAsia="ru-RU"/>
            </w:rPr>
          </w:pPr>
          <w:hyperlink w:anchor="_Toc94609830" w:history="1">
            <w:r w:rsidRPr="001D20EF">
              <w:rPr>
                <w:rStyle w:val="afc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_Toc94609830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1812" w:rsidRDefault="00821812" w:rsidP="00821812">
          <w:pPr>
            <w:jc w:val="left"/>
          </w:pPr>
          <w:r>
            <w:fldChar w:fldCharType="end"/>
          </w:r>
        </w:p>
      </w:sdtContent>
    </w:sdt>
    <w:p w:rsidR="00184674" w:rsidRPr="000E2D07" w:rsidRDefault="00184674" w:rsidP="00184674">
      <w:pPr>
        <w:keepNext/>
        <w:spacing w:before="60" w:after="0"/>
        <w:rPr>
          <w:rFonts w:ascii="Times New Roman" w:hAnsi="Times New Roman" w:cs="Times New Roman"/>
        </w:rPr>
      </w:pPr>
    </w:p>
    <w:p w:rsidR="00E67B44" w:rsidRDefault="00E67B44">
      <w:pPr>
        <w:spacing w:line="276" w:lineRule="auto"/>
        <w:ind w:firstLine="0"/>
        <w:jc w:val="left"/>
      </w:pPr>
      <w:r>
        <w:br w:type="page"/>
      </w:r>
    </w:p>
    <w:p w:rsidR="00E67B44" w:rsidRPr="00821812" w:rsidRDefault="00E67B44" w:rsidP="00821812">
      <w:pPr>
        <w:pStyle w:val="1"/>
        <w:numPr>
          <w:ilvl w:val="0"/>
          <w:numId w:val="0"/>
        </w:numPr>
        <w:ind w:left="431" w:hanging="431"/>
        <w:jc w:val="center"/>
        <w:rPr>
          <w:b w:val="0"/>
          <w:sz w:val="32"/>
          <w:szCs w:val="32"/>
          <w:lang w:val="en-US"/>
        </w:rPr>
      </w:pPr>
      <w:bookmarkStart w:id="3" w:name="_Toc94609823"/>
      <w:r w:rsidRPr="00821812">
        <w:rPr>
          <w:b w:val="0"/>
          <w:sz w:val="32"/>
          <w:szCs w:val="32"/>
        </w:rPr>
        <w:lastRenderedPageBreak/>
        <w:t>Введение</w:t>
      </w:r>
      <w:bookmarkEnd w:id="3"/>
    </w:p>
    <w:p w:rsidR="009735C0" w:rsidRDefault="00A63E63" w:rsidP="000E7D2F">
      <w:pPr>
        <w:keepNext/>
        <w:ind w:left="-142"/>
      </w:pPr>
      <w:r>
        <w:t>Б</w:t>
      </w:r>
      <w:r w:rsidR="009735C0">
        <w:t xml:space="preserve">ор-нейтронозахватная терапия </w:t>
      </w:r>
      <w:r>
        <w:t xml:space="preserve"> является перспективным методом для лечения злокачественных опухолей. Он обеспечивает избирательное разрушение опухолевых клеток путем </w:t>
      </w:r>
      <w:r w:rsidR="009735C0">
        <w:t>предварительного</w:t>
      </w:r>
      <w:r>
        <w:t xml:space="preserve"> накопления внутри них стабильного бора-10 и последующего облучения эпитепловыми нейтронами. </w:t>
      </w:r>
      <w:r w:rsidR="009735C0">
        <w:t>В результате поглощения нейтрона бором происходит ядерная реакция с выделением энергии в ячейке.</w:t>
      </w:r>
    </w:p>
    <w:p w:rsidR="009735C0" w:rsidRDefault="009735C0" w:rsidP="000E7D2F">
      <w:pPr>
        <w:keepNext/>
        <w:ind w:left="-142"/>
      </w:pPr>
      <w:r>
        <w:t xml:space="preserve">Для БНЗТ в </w:t>
      </w:r>
      <w:r w:rsidRPr="00184674">
        <w:t xml:space="preserve"> Институте ядерной</w:t>
      </w:r>
      <w:r>
        <w:t xml:space="preserve"> физики СО РАН был предложен и разработан</w:t>
      </w:r>
      <w:r w:rsidRPr="00184674">
        <w:t xml:space="preserve"> оригинальный ускорительный источник нейтронов.</w:t>
      </w:r>
      <w:r>
        <w:t xml:space="preserve"> Источник нейтронов состоит из трех основных блоков</w:t>
      </w:r>
      <w:r w:rsidRPr="009735C0">
        <w:t xml:space="preserve">: 1) </w:t>
      </w:r>
      <w:r>
        <w:t>электростатического тандемного ускорителя протонов оригинальной конструкции (тандемный ускоритель с вакуумной изоляцией) для получения стационарного пучка протонов с энергией до 2,3 МэВ и током до 10мА.</w:t>
      </w:r>
      <w:r w:rsidRPr="009735C0">
        <w:t>;</w:t>
      </w:r>
      <w:r>
        <w:t xml:space="preserve"> 2) литиевая мишень для генерации протонов в пороговой реакции </w:t>
      </w:r>
      <w:r w:rsidRPr="00184674">
        <w:rPr>
          <w:vertAlign w:val="superscript"/>
        </w:rPr>
        <w:t>7</w:t>
      </w:r>
      <w:r w:rsidRPr="00184674">
        <w:t>Li(p,n)</w:t>
      </w:r>
      <w:r w:rsidRPr="00184674">
        <w:rPr>
          <w:vertAlign w:val="superscript"/>
        </w:rPr>
        <w:t>7</w:t>
      </w:r>
      <w:r w:rsidRPr="00184674">
        <w:t>Be</w:t>
      </w:r>
      <w:r w:rsidR="00B343C3" w:rsidRPr="00B343C3">
        <w:t xml:space="preserve">; </w:t>
      </w:r>
      <w:r w:rsidR="00B343C3">
        <w:t>и 3) система генерации пучка терапевтических нейтронов для формирования пучка надтепловых нейтронов для терапии. Установка показана на рис.1.</w:t>
      </w:r>
    </w:p>
    <w:p w:rsidR="00B343C3" w:rsidRPr="00B343C3" w:rsidRDefault="00B343C3" w:rsidP="00B343C3">
      <w:pPr>
        <w:keepNext/>
        <w:ind w:hanging="142"/>
        <w:jc w:val="center"/>
      </w:pPr>
      <w:r w:rsidRPr="00B343C3">
        <w:rPr>
          <w:noProof/>
          <w:lang w:eastAsia="ru-RU"/>
        </w:rPr>
        <w:drawing>
          <wp:inline distT="0" distB="0" distL="0" distR="0">
            <wp:extent cx="3666376" cy="2415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78" cy="24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AD" w:rsidRDefault="00B343C3" w:rsidP="00175848">
      <w:pPr>
        <w:keepNext/>
        <w:jc w:val="center"/>
      </w:pPr>
      <w:r>
        <w:t>Рис. 1. Схема экспериментальной установки.</w:t>
      </w:r>
    </w:p>
    <w:p w:rsidR="002A63BC" w:rsidRDefault="002A63BC" w:rsidP="002A63BC">
      <w:pPr>
        <w:pStyle w:val="afe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</w:rPr>
      </w:pPr>
      <w:bookmarkStart w:id="4" w:name="_Toc94609785"/>
      <w:bookmarkStart w:id="5" w:name="_Toc94609824"/>
      <w:r w:rsidRPr="002A63BC">
        <w:rPr>
          <w:color w:val="000000"/>
        </w:rPr>
        <w:t xml:space="preserve">Для измерения “борной” и гамма дозы </w:t>
      </w:r>
      <w:r>
        <w:rPr>
          <w:color w:val="000000"/>
        </w:rPr>
        <w:t xml:space="preserve">в лаборатории БНЗТ ИЯФ используются </w:t>
      </w:r>
      <w:r w:rsidRPr="002A63BC">
        <w:rPr>
          <w:color w:val="000000"/>
        </w:rPr>
        <w:t>малогабаритные детекторы с двумя литьевыми полистирольными сцинтилляторами [</w:t>
      </w:r>
      <w:r>
        <w:rPr>
          <w:color w:val="000000"/>
        </w:rPr>
        <w:t>1</w:t>
      </w:r>
      <w:r w:rsidRPr="002A63BC">
        <w:rPr>
          <w:color w:val="000000"/>
        </w:rPr>
        <w:t>]. Устройство состоит из чувствительного детекторного элемента (сенсора) цилиндрической формы диаметром 1мм и длиной 1мм, сделанного из пластикового сцинтиллятора. Сенсор помещен внутри отражающего цилиндра из тефлона с толщиной стенки 1мм. Верхняя сторона сцинтиллятора покрыта белой краской на основе MgO. Конструкция приклеена к оптоволокну (POF). Первый датчик, обогащенный бором и второй, без B</w:t>
      </w:r>
      <w:r w:rsidRPr="002A63BC">
        <w:rPr>
          <w:color w:val="000000"/>
          <w:vertAlign w:val="superscript"/>
        </w:rPr>
        <w:t>10</w:t>
      </w:r>
      <w:r w:rsidRPr="002A63BC">
        <w:rPr>
          <w:color w:val="000000"/>
        </w:rPr>
        <w:t xml:space="preserve">, находятся </w:t>
      </w:r>
      <w:r w:rsidRPr="002A63BC">
        <w:rPr>
          <w:color w:val="000000"/>
        </w:rPr>
        <w:lastRenderedPageBreak/>
        <w:t>близко к друг другу и зафиксированы в одной форме из черного пластика. Конструкция детектора представлена на рис.</w:t>
      </w:r>
      <w:r>
        <w:rPr>
          <w:color w:val="000000"/>
        </w:rPr>
        <w:t xml:space="preserve"> 2</w:t>
      </w:r>
      <w:r w:rsidRPr="002A63BC">
        <w:rPr>
          <w:color w:val="000000"/>
        </w:rPr>
        <w:t>.</w:t>
      </w:r>
      <w:bookmarkEnd w:id="4"/>
      <w:bookmarkEnd w:id="5"/>
    </w:p>
    <w:p w:rsidR="002A63BC" w:rsidRDefault="002A63BC" w:rsidP="002A63BC">
      <w:pPr>
        <w:pStyle w:val="afe"/>
        <w:spacing w:before="0" w:beforeAutospacing="0" w:after="0" w:afterAutospacing="0" w:line="360" w:lineRule="auto"/>
        <w:ind w:firstLine="709"/>
        <w:jc w:val="center"/>
        <w:outlineLvl w:val="0"/>
        <w:rPr>
          <w:color w:val="000000"/>
        </w:rPr>
      </w:pPr>
      <w:r w:rsidRPr="002A63BC">
        <w:rPr>
          <w:noProof/>
          <w:color w:val="000000"/>
        </w:rPr>
        <w:drawing>
          <wp:inline distT="0" distB="0" distL="0" distR="0">
            <wp:extent cx="2905125" cy="21240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BC" w:rsidRDefault="002A63BC" w:rsidP="002A63BC">
      <w:pPr>
        <w:pStyle w:val="afe"/>
        <w:spacing w:before="0" w:beforeAutospacing="0" w:after="0" w:afterAutospacing="0" w:line="360" w:lineRule="auto"/>
        <w:jc w:val="center"/>
        <w:outlineLvl w:val="0"/>
        <w:rPr>
          <w:color w:val="000000"/>
        </w:rPr>
      </w:pPr>
      <w:bookmarkStart w:id="6" w:name="_Toc72765033"/>
      <w:bookmarkStart w:id="7" w:name="_Toc73107561"/>
      <w:bookmarkStart w:id="8" w:name="_Toc94609786"/>
      <w:bookmarkStart w:id="9" w:name="_Toc94609825"/>
      <w:r w:rsidRPr="002A63BC">
        <w:rPr>
          <w:color w:val="000000"/>
        </w:rPr>
        <w:t>Рис</w:t>
      </w:r>
      <w:r>
        <w:rPr>
          <w:color w:val="000000"/>
        </w:rPr>
        <w:t>. 2</w:t>
      </w:r>
      <w:r w:rsidRPr="002A63BC">
        <w:rPr>
          <w:color w:val="000000"/>
        </w:rPr>
        <w:t>. Схематическое изображение наконечника детек</w:t>
      </w:r>
      <w:r w:rsidR="00A50997">
        <w:rPr>
          <w:color w:val="000000"/>
        </w:rPr>
        <w:t>тора</w:t>
      </w:r>
      <w:r w:rsidRPr="002A63BC">
        <w:rPr>
          <w:color w:val="000000"/>
        </w:rPr>
        <w:t>. 1-оптоволокно (POF), 2- обогащенный бором сцинтиллятор, 3- твердый тефлон, 4- отражающая белая краска, 5-эпоксид, 6- стандартный сцинтиллятор.</w:t>
      </w:r>
      <w:bookmarkEnd w:id="6"/>
      <w:bookmarkEnd w:id="7"/>
      <w:bookmarkEnd w:id="8"/>
      <w:bookmarkEnd w:id="9"/>
    </w:p>
    <w:p w:rsidR="002A63BC" w:rsidRDefault="002A63BC">
      <w:pPr>
        <w:spacing w:line="276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  <w:r>
        <w:rPr>
          <w:color w:val="000000"/>
        </w:rPr>
        <w:br w:type="page"/>
      </w:r>
    </w:p>
    <w:p w:rsidR="002A63BC" w:rsidRPr="00872131" w:rsidRDefault="000E7D2F" w:rsidP="00821812">
      <w:pPr>
        <w:pStyle w:val="afe"/>
        <w:spacing w:before="0" w:beforeAutospacing="0" w:after="0" w:afterAutospacing="0" w:line="360" w:lineRule="auto"/>
        <w:jc w:val="center"/>
        <w:outlineLvl w:val="0"/>
        <w:rPr>
          <w:color w:val="000000"/>
          <w:sz w:val="32"/>
          <w:szCs w:val="32"/>
        </w:rPr>
      </w:pPr>
      <w:bookmarkStart w:id="10" w:name="_Toc94609826"/>
      <w:r w:rsidRPr="00872131">
        <w:rPr>
          <w:color w:val="000000"/>
          <w:sz w:val="32"/>
          <w:szCs w:val="32"/>
        </w:rPr>
        <w:lastRenderedPageBreak/>
        <w:t>Полученные результаты</w:t>
      </w:r>
      <w:bookmarkEnd w:id="10"/>
    </w:p>
    <w:p w:rsidR="000E7D2F" w:rsidRDefault="00872131" w:rsidP="000E7D2F">
      <w:pPr>
        <w:pStyle w:val="afe"/>
        <w:spacing w:before="0" w:beforeAutospacing="0" w:after="0" w:afterAutospacing="0" w:line="360" w:lineRule="auto"/>
        <w:jc w:val="both"/>
        <w:outlineLvl w:val="0"/>
      </w:pPr>
      <w:bookmarkStart w:id="11" w:name="_Toc94609788"/>
      <w:bookmarkStart w:id="12" w:name="_Toc94609827"/>
      <w:r w:rsidRPr="00872131">
        <w:rPr>
          <w:color w:val="000000"/>
        </w:rPr>
        <w:t xml:space="preserve">В январе 2021 года были проведены эксперименты по измерению пространственного распределения доз установки БНЗТ вдоль и поперечно оси распределения пучка с использованием водяного фантома. </w:t>
      </w:r>
      <w:r w:rsidRPr="00872131">
        <w:t>Дозиметрический 3</w:t>
      </w:r>
      <w:r w:rsidRPr="00872131">
        <w:rPr>
          <w:lang w:val="en-US"/>
        </w:rPr>
        <w:t>D</w:t>
      </w:r>
      <w:r w:rsidRPr="00872131">
        <w:t xml:space="preserve"> фантом представляет собой бак прямоугольной формы, заполняемый водой, с подвижной кареткой, позволяющей перемещать детектор излучения по трем координатам. Подвижной кареткой, на которой размешают детекторы, управляют из пультовой установки посредством последовательного порта связи.</w:t>
      </w:r>
      <w:bookmarkEnd w:id="11"/>
      <w:bookmarkEnd w:id="12"/>
    </w:p>
    <w:p w:rsidR="00872131" w:rsidRPr="00B36C46" w:rsidRDefault="004927F9" w:rsidP="000E7D2F">
      <w:pPr>
        <w:pStyle w:val="afe"/>
        <w:spacing w:before="0" w:beforeAutospacing="0" w:after="0" w:afterAutospacing="0" w:line="360" w:lineRule="auto"/>
        <w:jc w:val="both"/>
        <w:outlineLvl w:val="0"/>
      </w:pPr>
      <w:bookmarkStart w:id="13" w:name="_Toc94609828"/>
      <w:r w:rsidRPr="00B36C46">
        <w:t xml:space="preserve">На каретку фантома устанавливают два малогабаритных детектора нейтронов с литьевым полистирольным сцинтиллятором, один из которых обогащен бором. Таким образом, один из детекторов нейтронов с обогащенным бором сцинтиллятором используют для измерения борной дозы, другой со сцинтиллятором без бора – для измерения дозы </w:t>
      </w:r>
      <w:proofErr w:type="gramStart"/>
      <w:r w:rsidR="00B36C46" w:rsidRPr="00B36C46">
        <w:t>γ</w:t>
      </w:r>
      <w:r w:rsidRPr="00B36C46">
        <w:t>-</w:t>
      </w:r>
      <w:proofErr w:type="gramEnd"/>
      <w:r w:rsidRPr="00B36C46">
        <w:t>излучения. Пример размещения дозиметрического 3D фантома с закрепленными на каретке детекторами вплотную к литиевой мишени представлен на рис. 3.</w:t>
      </w:r>
      <w:bookmarkEnd w:id="13"/>
    </w:p>
    <w:p w:rsidR="004927F9" w:rsidRPr="004927F9" w:rsidRDefault="00B36C46" w:rsidP="00B36C46">
      <w:pPr>
        <w:pStyle w:val="afe"/>
        <w:spacing w:before="0" w:beforeAutospacing="0" w:after="0" w:afterAutospacing="0" w:line="360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B36C46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3954635" cy="3133422"/>
            <wp:effectExtent l="0" t="0" r="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5" cy="313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46" w:rsidRDefault="00B36C46" w:rsidP="00B36C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36C46">
        <w:rPr>
          <w:rFonts w:ascii="Times New Roman" w:hAnsi="Times New Roman" w:cs="Times New Roman"/>
          <w:szCs w:val="24"/>
        </w:rPr>
        <w:t>Рис</w:t>
      </w:r>
      <w:r>
        <w:rPr>
          <w:rFonts w:ascii="Times New Roman" w:hAnsi="Times New Roman" w:cs="Times New Roman"/>
          <w:szCs w:val="24"/>
        </w:rPr>
        <w:t>. 3</w:t>
      </w:r>
      <w:r w:rsidRPr="00B36C46">
        <w:rPr>
          <w:rFonts w:ascii="Times New Roman" w:hAnsi="Times New Roman" w:cs="Times New Roman"/>
          <w:szCs w:val="24"/>
        </w:rPr>
        <w:t>. Размещение дозиметрического 3D фантома с закрепленными на каретке детекторами и литиевой мишени.</w:t>
      </w:r>
    </w:p>
    <w:p w:rsidR="00B36C46" w:rsidRDefault="00B36C46" w:rsidP="00B36C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36C46" w:rsidRDefault="00B36C46" w:rsidP="00B36C46">
      <w:pPr>
        <w:spacing w:after="0" w:line="240" w:lineRule="auto"/>
        <w:rPr>
          <w:szCs w:val="24"/>
        </w:rPr>
      </w:pPr>
      <w:r w:rsidRPr="00B36C46">
        <w:rPr>
          <w:rFonts w:ascii="Times New Roman" w:hAnsi="Times New Roman" w:cs="Times New Roman"/>
          <w:szCs w:val="24"/>
        </w:rPr>
        <w:t xml:space="preserve">В результате работы были получены данные по </w:t>
      </w:r>
      <w:r w:rsidRPr="00B36C46">
        <w:rPr>
          <w:szCs w:val="24"/>
        </w:rPr>
        <w:t xml:space="preserve">распределению доз для энергии протонного пучка 2,05 МэВ (рис.4). Из графика видно значительное различие дозы тепловых нейтронов и гамма дозы в отличие от борной дозы, не смотря на их медленный спад вдоль оси пучка. Учитывая данный вклад тепловых нейтронов и гамма- излучения, а также значительный спад дозы быстрых нейтронов, было замечено приемлемое соотношение полезной дозы </w:t>
      </w:r>
      <w:proofErr w:type="gramStart"/>
      <w:r w:rsidRPr="00B36C46">
        <w:rPr>
          <w:szCs w:val="24"/>
        </w:rPr>
        <w:t>к</w:t>
      </w:r>
      <w:proofErr w:type="gramEnd"/>
      <w:r w:rsidRPr="00B36C46">
        <w:rPr>
          <w:szCs w:val="24"/>
        </w:rPr>
        <w:t xml:space="preserve"> вредной на расстоянии от литиевой мишени в 8 сантиметров.</w:t>
      </w:r>
    </w:p>
    <w:p w:rsidR="00B36C46" w:rsidRPr="00B36C46" w:rsidRDefault="00B36C46" w:rsidP="00914E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E7D2F" w:rsidRDefault="00914EB8" w:rsidP="002A63BC">
      <w:pPr>
        <w:pStyle w:val="afe"/>
        <w:spacing w:before="0" w:beforeAutospacing="0"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52110" cy="36629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61" cy="366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B8" w:rsidRDefault="00914EB8" w:rsidP="00914EB8">
      <w:pPr>
        <w:spacing w:after="0"/>
        <w:jc w:val="center"/>
        <w:rPr>
          <w:szCs w:val="24"/>
        </w:rPr>
      </w:pPr>
      <w:r w:rsidRPr="00914EB8">
        <w:rPr>
          <w:szCs w:val="24"/>
        </w:rPr>
        <w:t>Рис. 4. Распределение гамма и нейтронных доз вдоль оси пучка.</w:t>
      </w:r>
    </w:p>
    <w:p w:rsidR="00914EB8" w:rsidRDefault="00914EB8" w:rsidP="00914EB8">
      <w:pPr>
        <w:spacing w:after="0"/>
        <w:rPr>
          <w:szCs w:val="24"/>
        </w:rPr>
      </w:pPr>
      <w:r w:rsidRPr="00914EB8">
        <w:rPr>
          <w:szCs w:val="24"/>
        </w:rPr>
        <w:t>Помимо распределения вдоль оси пучка эпитепловых нейтронов также был измерен вклад доз в поперечной плоскости. Для сравнения значения борной дозы с дозами гамма-излучения, а также с дозами быстрых и тепловых нейтронов, был построен общий график распределения перпендикулярно оси пучка нейтронов, представленный на рис. 5.</w:t>
      </w:r>
      <w:r>
        <w:rPr>
          <w:noProof/>
          <w:szCs w:val="24"/>
          <w:lang w:eastAsia="ru-RU"/>
        </w:rPr>
        <w:drawing>
          <wp:inline distT="0" distB="0" distL="0" distR="0">
            <wp:extent cx="5939790" cy="3303251"/>
            <wp:effectExtent l="19050" t="0" r="381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B8" w:rsidRDefault="00914EB8" w:rsidP="00914EB8">
      <w:pPr>
        <w:spacing w:after="0"/>
        <w:jc w:val="center"/>
        <w:rPr>
          <w:iCs/>
          <w:szCs w:val="24"/>
        </w:rPr>
      </w:pPr>
      <w:r w:rsidRPr="00914EB8">
        <w:rPr>
          <w:szCs w:val="24"/>
        </w:rPr>
        <w:t xml:space="preserve">Рис. 5. </w:t>
      </w:r>
      <w:r w:rsidRPr="00914EB8">
        <w:rPr>
          <w:iCs/>
          <w:szCs w:val="24"/>
        </w:rPr>
        <w:t>Распределение доз перпендикулярно оси пучка.</w:t>
      </w:r>
    </w:p>
    <w:p w:rsidR="00914EB8" w:rsidRPr="00914EB8" w:rsidRDefault="00914EB8" w:rsidP="00914EB8">
      <w:pPr>
        <w:spacing w:after="0"/>
        <w:rPr>
          <w:szCs w:val="24"/>
        </w:rPr>
      </w:pPr>
      <w:r w:rsidRPr="00914EB8">
        <w:rPr>
          <w:szCs w:val="24"/>
        </w:rPr>
        <w:t xml:space="preserve">Из графика можно увидеть, что распределения всех доз принимает вид гауссовой функции. Из “вредных” доз быстрые нейтроны дают наибольший вклад, однако функция </w:t>
      </w:r>
      <w:r w:rsidRPr="00914EB8">
        <w:rPr>
          <w:szCs w:val="24"/>
        </w:rPr>
        <w:lastRenderedPageBreak/>
        <w:t>стремительно убывает при смещении от центра пучка эпитепловых нейтронов. С другой стороны, доза от тепловых нейтронов и гамма-излучения практически на порядок меньше показаний борной дозы, однако полуширина их гауссовых функций велика.</w:t>
      </w:r>
    </w:p>
    <w:p w:rsidR="00914EB8" w:rsidRDefault="00914EB8" w:rsidP="00914EB8">
      <w:pPr>
        <w:spacing w:after="0"/>
        <w:rPr>
          <w:szCs w:val="24"/>
        </w:rPr>
      </w:pPr>
      <w:r w:rsidRPr="00914EB8">
        <w:rPr>
          <w:szCs w:val="24"/>
        </w:rPr>
        <w:t>В результате экспериментальных измерений распределения дозы пучка эпитепловых нейтронов вдоль оси и в плоскости, перпендикулярной ей, была составлена таблица поведения графиков доз.</w:t>
      </w:r>
    </w:p>
    <w:p w:rsidR="00914EB8" w:rsidRDefault="00FC3ED9" w:rsidP="00FC3ED9">
      <w:pPr>
        <w:spacing w:after="0"/>
        <w:ind w:firstLine="0"/>
        <w:rPr>
          <w:szCs w:val="24"/>
        </w:rPr>
      </w:pPr>
      <w:r w:rsidRPr="00FC3ED9">
        <w:rPr>
          <w:noProof/>
          <w:szCs w:val="24"/>
          <w:lang w:eastAsia="ru-RU"/>
        </w:rPr>
        <w:drawing>
          <wp:inline distT="0" distB="0" distL="0" distR="0">
            <wp:extent cx="5939790" cy="1935366"/>
            <wp:effectExtent l="19050" t="0" r="381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D9" w:rsidRDefault="00FC3ED9" w:rsidP="00FC3ED9">
      <w:pPr>
        <w:spacing w:after="0"/>
        <w:jc w:val="center"/>
        <w:rPr>
          <w:szCs w:val="24"/>
        </w:rPr>
      </w:pPr>
      <w:r w:rsidRPr="00FC3ED9">
        <w:rPr>
          <w:szCs w:val="24"/>
        </w:rPr>
        <w:t>Таблица 1. Общие характеристики распределения доз эпитеплового пучка.</w:t>
      </w:r>
    </w:p>
    <w:p w:rsidR="00B76B7A" w:rsidRDefault="00B76B7A">
      <w:pPr>
        <w:spacing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B76B7A" w:rsidRPr="00821812" w:rsidRDefault="00B76B7A" w:rsidP="00821812">
      <w:pPr>
        <w:pStyle w:val="1"/>
        <w:numPr>
          <w:ilvl w:val="0"/>
          <w:numId w:val="0"/>
        </w:numPr>
        <w:ind w:left="431"/>
        <w:jc w:val="center"/>
        <w:rPr>
          <w:b w:val="0"/>
          <w:sz w:val="32"/>
          <w:szCs w:val="32"/>
          <w:lang w:val="en-US"/>
        </w:rPr>
      </w:pPr>
      <w:bookmarkStart w:id="14" w:name="_Toc94609829"/>
      <w:r w:rsidRPr="00821812">
        <w:rPr>
          <w:b w:val="0"/>
          <w:sz w:val="32"/>
          <w:szCs w:val="32"/>
        </w:rPr>
        <w:lastRenderedPageBreak/>
        <w:t>Калибровка борного сцинтиллятора</w:t>
      </w:r>
      <w:bookmarkEnd w:id="14"/>
    </w:p>
    <w:p w:rsidR="00B76B7A" w:rsidRPr="001778A8" w:rsidRDefault="00B76B7A" w:rsidP="00B76B7A">
      <w:pPr>
        <w:spacing w:after="0"/>
        <w:rPr>
          <w:szCs w:val="24"/>
        </w:rPr>
      </w:pPr>
      <w:r>
        <w:rPr>
          <w:szCs w:val="24"/>
        </w:rPr>
        <w:t xml:space="preserve">В результате эксперимента по верификации пучка эпитепловых нейтронов были получены данные по распределению доз перпендикулярно и продольно оси распределения нейтронного пучка. </w:t>
      </w:r>
      <w:r w:rsidRPr="00B76B7A">
        <w:rPr>
          <w:rFonts w:ascii="Times New Roman" w:hAnsi="Times New Roman" w:cs="Times New Roman"/>
          <w:szCs w:val="24"/>
        </w:rPr>
        <w:t xml:space="preserve">Для абсолютной калибровки детектора, измеряющего дозу </w:t>
      </w:r>
      <w:proofErr w:type="gramStart"/>
      <w:r>
        <w:rPr>
          <w:rFonts w:ascii="Cambria Math" w:hAnsi="Cambria Math" w:cs="Times New Roman"/>
          <w:szCs w:val="24"/>
        </w:rPr>
        <w:t>γ</w:t>
      </w:r>
      <w:r w:rsidRPr="00B76B7A">
        <w:rPr>
          <w:rFonts w:ascii="Times New Roman" w:hAnsi="Times New Roman" w:cs="Times New Roman"/>
          <w:szCs w:val="24"/>
        </w:rPr>
        <w:t>-</w:t>
      </w:r>
      <w:proofErr w:type="gramEnd"/>
      <w:r w:rsidRPr="00B76B7A">
        <w:rPr>
          <w:rFonts w:ascii="Times New Roman" w:hAnsi="Times New Roman" w:cs="Times New Roman"/>
          <w:szCs w:val="24"/>
        </w:rPr>
        <w:t>излучения, использ</w:t>
      </w:r>
      <w:r>
        <w:rPr>
          <w:rFonts w:ascii="Times New Roman" w:hAnsi="Times New Roman" w:cs="Times New Roman"/>
          <w:szCs w:val="24"/>
        </w:rPr>
        <w:t>овался</w:t>
      </w:r>
      <w:r w:rsidRPr="00B76B7A">
        <w:rPr>
          <w:rFonts w:ascii="Times New Roman" w:hAnsi="Times New Roman" w:cs="Times New Roman"/>
          <w:szCs w:val="24"/>
        </w:rPr>
        <w:t xml:space="preserve"> подобный</w:t>
      </w:r>
      <w:r>
        <w:rPr>
          <w:rFonts w:ascii="Times New Roman" w:hAnsi="Times New Roman" w:cs="Times New Roman"/>
          <w:szCs w:val="24"/>
        </w:rPr>
        <w:t xml:space="preserve"> сцинтилляторный</w:t>
      </w:r>
      <w:r w:rsidRPr="00B76B7A">
        <w:rPr>
          <w:rFonts w:ascii="Times New Roman" w:hAnsi="Times New Roman" w:cs="Times New Roman"/>
          <w:szCs w:val="24"/>
        </w:rPr>
        <w:t xml:space="preserve"> детектор, который размещают рядом с сертифицированным дозиметром-радиометром ДКС-96 с блоком детектирования БДМГ-96 (ООО "Доза", Россия)</w:t>
      </w:r>
      <w:r>
        <w:rPr>
          <w:rFonts w:ascii="Times New Roman" w:hAnsi="Times New Roman" w:cs="Times New Roman"/>
          <w:szCs w:val="24"/>
        </w:rPr>
        <w:t xml:space="preserve">. Для калибровки и перевода скорости счета борного датчика в дозу были использованы теоретические данные, посчитанные нашими коллегами методом Монте-Карло, </w:t>
      </w:r>
      <w:r w:rsidRPr="00B76B7A">
        <w:rPr>
          <w:szCs w:val="24"/>
        </w:rPr>
        <w:t>Берендеевым Е.А. и Сычевой Т.В.</w:t>
      </w:r>
      <w:r>
        <w:rPr>
          <w:szCs w:val="24"/>
        </w:rPr>
        <w:t xml:space="preserve"> В ходе обсуждения результатов было принято решение </w:t>
      </w:r>
      <w:r w:rsidR="00BF2221">
        <w:rPr>
          <w:szCs w:val="24"/>
        </w:rPr>
        <w:t>о проведении эксперимента по калибровке борного сцинтиллятора для установление точного коэффициента перевода скорости счета детектора в борную дозу, а также сравнения теоретических дан</w:t>
      </w:r>
      <w:r w:rsidR="00821812">
        <w:rPr>
          <w:szCs w:val="24"/>
        </w:rPr>
        <w:t>ных с экспериментальными.</w:t>
      </w:r>
      <w:r w:rsidR="00821812" w:rsidRPr="00821812">
        <w:rPr>
          <w:szCs w:val="24"/>
        </w:rPr>
        <w:t xml:space="preserve"> </w:t>
      </w:r>
      <w:r w:rsidR="00BF2221">
        <w:rPr>
          <w:szCs w:val="24"/>
        </w:rPr>
        <w:t>После выхода из ускорительного тракта, проходя через 72 мм фантом из оргстекла, нейтроны попадают в установленный образец карбида бора с закрепленным борным детектором.</w:t>
      </w:r>
      <w:r w:rsidR="001778A8">
        <w:rPr>
          <w:szCs w:val="24"/>
        </w:rPr>
        <w:t xml:space="preserve"> В ходе реакции бора с нейтронами происходит выделение гамма-кванта, далее детектируемого гамма-спектрометром на основе </w:t>
      </w:r>
      <w:proofErr w:type="spellStart"/>
      <w:r w:rsidR="001778A8">
        <w:rPr>
          <w:szCs w:val="24"/>
          <w:lang w:val="en-US"/>
        </w:rPr>
        <w:t>HpGe</w:t>
      </w:r>
      <w:proofErr w:type="spellEnd"/>
      <w:r w:rsidR="001778A8" w:rsidRPr="001778A8">
        <w:rPr>
          <w:szCs w:val="24"/>
        </w:rPr>
        <w:t xml:space="preserve"> </w:t>
      </w:r>
      <w:r w:rsidR="001778A8">
        <w:rPr>
          <w:szCs w:val="24"/>
        </w:rPr>
        <w:t xml:space="preserve">детектора. В результате ожидается получить данные, которые позволят определить концентрацию бора </w:t>
      </w:r>
      <w:proofErr w:type="gramStart"/>
      <w:r w:rsidR="001778A8">
        <w:rPr>
          <w:szCs w:val="24"/>
        </w:rPr>
        <w:t>в</w:t>
      </w:r>
      <w:proofErr w:type="gramEnd"/>
      <w:r w:rsidR="001778A8">
        <w:rPr>
          <w:szCs w:val="24"/>
        </w:rPr>
        <w:t xml:space="preserve"> детектора для дальнейших исследований. Планируемое время проведение эксперимент</w:t>
      </w:r>
      <w:proofErr w:type="gramStart"/>
      <w:r w:rsidR="001778A8">
        <w:rPr>
          <w:szCs w:val="24"/>
        </w:rPr>
        <w:t>а-</w:t>
      </w:r>
      <w:proofErr w:type="gramEnd"/>
      <w:r w:rsidR="001778A8">
        <w:rPr>
          <w:szCs w:val="24"/>
        </w:rPr>
        <w:t xml:space="preserve"> первый квартал 2022 года. </w:t>
      </w:r>
    </w:p>
    <w:p w:rsidR="00BF2221" w:rsidRPr="00B76B7A" w:rsidRDefault="00BF2221" w:rsidP="00B76B7A">
      <w:pPr>
        <w:spacing w:after="0"/>
        <w:rPr>
          <w:rFonts w:ascii="Times New Roman" w:hAnsi="Times New Roman" w:cs="Times New Roman"/>
          <w:szCs w:val="24"/>
        </w:rPr>
      </w:pPr>
    </w:p>
    <w:p w:rsidR="00FC3ED9" w:rsidRDefault="00FC3ED9" w:rsidP="00B76B7A">
      <w:pPr>
        <w:spacing w:after="0"/>
        <w:ind w:firstLine="0"/>
        <w:rPr>
          <w:szCs w:val="24"/>
        </w:rPr>
      </w:pPr>
    </w:p>
    <w:p w:rsidR="00FC3ED9" w:rsidRPr="00914EB8" w:rsidRDefault="00FC3ED9" w:rsidP="00FC3ED9">
      <w:pPr>
        <w:spacing w:after="0"/>
        <w:ind w:firstLine="0"/>
        <w:jc w:val="center"/>
        <w:rPr>
          <w:szCs w:val="24"/>
        </w:rPr>
      </w:pPr>
    </w:p>
    <w:p w:rsidR="00914EB8" w:rsidRPr="00914EB8" w:rsidRDefault="00914EB8" w:rsidP="00914EB8">
      <w:pPr>
        <w:spacing w:after="0"/>
        <w:rPr>
          <w:szCs w:val="24"/>
        </w:rPr>
      </w:pPr>
    </w:p>
    <w:p w:rsidR="00914EB8" w:rsidRDefault="00914EB8" w:rsidP="00914EB8">
      <w:pPr>
        <w:spacing w:after="0"/>
        <w:rPr>
          <w:szCs w:val="24"/>
        </w:rPr>
      </w:pPr>
    </w:p>
    <w:p w:rsidR="00914EB8" w:rsidRPr="00914EB8" w:rsidRDefault="00914EB8" w:rsidP="00914EB8">
      <w:pPr>
        <w:spacing w:after="0"/>
        <w:jc w:val="center"/>
        <w:rPr>
          <w:szCs w:val="24"/>
        </w:rPr>
      </w:pPr>
    </w:p>
    <w:p w:rsidR="00914EB8" w:rsidRPr="00914EB8" w:rsidRDefault="00914EB8" w:rsidP="00914EB8">
      <w:pPr>
        <w:spacing w:after="0"/>
        <w:jc w:val="center"/>
        <w:rPr>
          <w:szCs w:val="24"/>
        </w:rPr>
      </w:pPr>
    </w:p>
    <w:p w:rsidR="00914EB8" w:rsidRPr="000E7D2F" w:rsidRDefault="00914EB8" w:rsidP="002A63BC">
      <w:pPr>
        <w:pStyle w:val="afe"/>
        <w:spacing w:before="0" w:beforeAutospacing="0"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</w:p>
    <w:p w:rsidR="00BF2221" w:rsidRDefault="00BF2221" w:rsidP="00BF2221">
      <w:pPr>
        <w:pStyle w:val="afe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</w:rPr>
      </w:pPr>
    </w:p>
    <w:p w:rsidR="00BF2221" w:rsidRPr="002A63BC" w:rsidRDefault="00BF2221" w:rsidP="00BF2221">
      <w:pPr>
        <w:pStyle w:val="afe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</w:rPr>
      </w:pPr>
    </w:p>
    <w:p w:rsidR="00B343C3" w:rsidRDefault="002A63BC" w:rsidP="001778A8">
      <w:pPr>
        <w:spacing w:line="276" w:lineRule="auto"/>
        <w:ind w:firstLine="0"/>
        <w:jc w:val="left"/>
      </w:pPr>
      <w:r>
        <w:br w:type="page"/>
      </w:r>
    </w:p>
    <w:sdt>
      <w:sdtPr>
        <w:rPr>
          <w:smallCaps w:val="0"/>
          <w:sz w:val="24"/>
        </w:rPr>
        <w:id w:val="-1916307682"/>
        <w:docPartObj>
          <w:docPartGallery w:val="Bibliographies"/>
          <w:docPartUnique/>
        </w:docPartObj>
      </w:sdtPr>
      <w:sdtContent>
        <w:bookmarkStart w:id="15" w:name="_Toc94609830" w:displacedByCustomXml="prev"/>
        <w:p w:rsidR="001778A8" w:rsidRPr="00370401" w:rsidRDefault="001778A8" w:rsidP="001778A8">
          <w:pPr>
            <w:pStyle w:val="-1"/>
          </w:pPr>
          <w:r>
            <w:t>Список использованных источников</w:t>
          </w:r>
          <w:bookmarkEnd w:id="15"/>
        </w:p>
        <w:sdt>
          <w:sdtPr>
            <w:id w:val="111145805"/>
            <w:bibliography/>
          </w:sdtPr>
          <w:sdtContent>
            <w:p w:rsidR="001778A8" w:rsidRDefault="001778A8" w:rsidP="001778A8">
              <w:pPr>
                <w:pStyle w:val="ac"/>
                <w:numPr>
                  <w:ilvl w:val="0"/>
                  <w:numId w:val="5"/>
                </w:numPr>
                <w:spacing w:after="0"/>
                <w:ind w:left="357" w:firstLine="709"/>
                <w:rPr>
                  <w:sz w:val="28"/>
                  <w:szCs w:val="28"/>
                  <w:lang w:val="en-US"/>
                </w:rPr>
              </w:pPr>
              <w:r w:rsidRPr="00821812">
                <w:rPr>
                  <w:szCs w:val="24"/>
                  <w:lang w:val="en-US"/>
                </w:rPr>
                <w:t xml:space="preserve">V.V. Porosev, G.A. </w:t>
              </w:r>
              <w:proofErr w:type="spellStart"/>
              <w:r w:rsidRPr="00821812">
                <w:rPr>
                  <w:szCs w:val="24"/>
                  <w:lang w:val="en-US"/>
                </w:rPr>
                <w:t>Savinov</w:t>
              </w:r>
              <w:proofErr w:type="spellEnd"/>
              <w:r w:rsidRPr="00821812">
                <w:rPr>
                  <w:szCs w:val="24"/>
                  <w:lang w:val="en-US"/>
                </w:rPr>
                <w:t>. Evaluation of boron-enriched plastic scintillator for thermal neutron detection.</w:t>
              </w:r>
            </w:p>
            <w:p w:rsidR="00821812" w:rsidRPr="00821812" w:rsidRDefault="00821812" w:rsidP="001778A8">
              <w:pPr>
                <w:pStyle w:val="ac"/>
                <w:numPr>
                  <w:ilvl w:val="0"/>
                  <w:numId w:val="5"/>
                </w:numPr>
                <w:spacing w:after="0"/>
                <w:ind w:left="357" w:firstLine="709"/>
                <w:rPr>
                  <w:sz w:val="28"/>
                  <w:szCs w:val="28"/>
                  <w:lang w:val="en-US"/>
                </w:rPr>
              </w:pPr>
              <w:r w:rsidRPr="00821812">
                <w:rPr>
                  <w:lang w:val="en-US"/>
                </w:rPr>
                <w:t xml:space="preserve">G. Verkhovod, D. Kasatov, Ia. Kolesnikov, A. Koshkarev, A. Makarov, I. Shchudlo, T. Sycheva, S. </w:t>
              </w:r>
              <w:proofErr w:type="spellStart"/>
              <w:r w:rsidRPr="00821812">
                <w:rPr>
                  <w:lang w:val="en-US"/>
                </w:rPr>
                <w:t>Savinov</w:t>
              </w:r>
              <w:proofErr w:type="spellEnd"/>
              <w:r w:rsidRPr="00821812">
                <w:rPr>
                  <w:lang w:val="en-US"/>
                </w:rPr>
                <w:t xml:space="preserve">, S. Taskaev. </w:t>
              </w:r>
              <w:r w:rsidRPr="00821812">
                <w:rPr>
                  <w:i/>
                  <w:iCs/>
                  <w:lang w:val="en-US"/>
                </w:rPr>
                <w:t xml:space="preserve">Verification of a beam of epithermal neutrons for boron-neutron </w:t>
              </w:r>
              <w:proofErr w:type="gramStart"/>
              <w:r w:rsidRPr="00821812">
                <w:rPr>
                  <w:i/>
                  <w:iCs/>
                  <w:lang w:val="en-US"/>
                </w:rPr>
                <w:t>capture</w:t>
              </w:r>
              <w:proofErr w:type="gramEnd"/>
              <w:r w:rsidRPr="00821812">
                <w:rPr>
                  <w:i/>
                  <w:iCs/>
                  <w:lang w:val="en-US"/>
                </w:rPr>
                <w:t xml:space="preserve"> therapy. </w:t>
              </w:r>
              <w:r w:rsidRPr="00821812">
                <w:rPr>
                  <w:lang w:val="en-US"/>
                </w:rPr>
                <w:t xml:space="preserve">Proc. of the XXVII Russian Particle Accelerator Conference, </w:t>
              </w:r>
              <w:proofErr w:type="spellStart"/>
              <w:r w:rsidRPr="00821812">
                <w:rPr>
                  <w:lang w:val="en-US"/>
                </w:rPr>
                <w:t>Alushta</w:t>
              </w:r>
              <w:proofErr w:type="spellEnd"/>
              <w:r w:rsidRPr="00821812">
                <w:rPr>
                  <w:lang w:val="en-US"/>
                </w:rPr>
                <w:t>, Russia, September 26</w:t>
              </w:r>
              <w:r w:rsidRPr="00821812">
                <w:rPr>
                  <w:vertAlign w:val="superscript"/>
                  <w:lang w:val="en-US"/>
                </w:rPr>
                <w:t>th</w:t>
              </w:r>
              <w:r w:rsidRPr="00821812">
                <w:rPr>
                  <w:lang w:val="en-US"/>
                </w:rPr>
                <w:t xml:space="preserve"> - October 2</w:t>
              </w:r>
              <w:r w:rsidRPr="00821812">
                <w:rPr>
                  <w:vertAlign w:val="superscript"/>
                  <w:lang w:val="en-US"/>
                </w:rPr>
                <w:t>st</w:t>
              </w:r>
              <w:r w:rsidRPr="00821812">
                <w:rPr>
                  <w:lang w:val="en-US"/>
                </w:rPr>
                <w:t>, 2021, MOPSA47.</w:t>
              </w:r>
            </w:p>
            <w:p w:rsidR="00821812" w:rsidRPr="00556ADE" w:rsidRDefault="00821812" w:rsidP="001778A8">
              <w:pPr>
                <w:pStyle w:val="ac"/>
                <w:numPr>
                  <w:ilvl w:val="0"/>
                  <w:numId w:val="5"/>
                </w:numPr>
                <w:spacing w:after="0"/>
                <w:ind w:left="357" w:firstLine="709"/>
                <w:rPr>
                  <w:sz w:val="28"/>
                  <w:szCs w:val="28"/>
                  <w:lang w:val="en-US"/>
                </w:rPr>
              </w:pPr>
              <w:r w:rsidRPr="00821812">
                <w:rPr>
                  <w:lang w:val="en-US"/>
                </w:rPr>
                <w:t xml:space="preserve">T. </w:t>
              </w:r>
              <w:proofErr w:type="spellStart"/>
              <w:r w:rsidRPr="00821812">
                <w:rPr>
                  <w:lang w:val="en-US"/>
                </w:rPr>
                <w:t>Bykov</w:t>
              </w:r>
              <w:proofErr w:type="spellEnd"/>
              <w:r w:rsidRPr="00821812">
                <w:rPr>
                  <w:lang w:val="en-US"/>
                </w:rPr>
                <w:t xml:space="preserve">, D. Kasatov, A. Koshkarev, A. Makarov, V. Porosev, G. </w:t>
              </w:r>
              <w:proofErr w:type="spellStart"/>
              <w:r w:rsidRPr="00821812">
                <w:rPr>
                  <w:lang w:val="en-US"/>
                </w:rPr>
                <w:t>Savinov</w:t>
              </w:r>
              <w:proofErr w:type="spellEnd"/>
              <w:r w:rsidRPr="00821812">
                <w:rPr>
                  <w:lang w:val="en-US"/>
                </w:rPr>
                <w:t xml:space="preserve">, I. Shchudlo, S. Taskaev, G. Verkhovod. </w:t>
              </w:r>
              <w:r w:rsidRPr="00821812">
                <w:rPr>
                  <w:i/>
                  <w:iCs/>
                  <w:lang w:val="en-US"/>
                </w:rPr>
                <w:t xml:space="preserve">Initial trials of a dose monitoring detector for boron neutron capture therapy. </w:t>
              </w:r>
              <w:r>
                <w:t xml:space="preserve">JINST 2021, </w:t>
              </w:r>
              <w:proofErr w:type="spellStart"/>
              <w:r>
                <w:t>vol</w:t>
              </w:r>
              <w:proofErr w:type="spellEnd"/>
              <w:r>
                <w:t>. 16, P01024.</w:t>
              </w:r>
            </w:p>
            <w:p w:rsidR="00556ADE" w:rsidRPr="00821812" w:rsidRDefault="00556ADE" w:rsidP="00556ADE">
              <w:pPr>
                <w:spacing w:after="0"/>
                <w:rPr>
                  <w:sz w:val="28"/>
                  <w:szCs w:val="28"/>
                  <w:lang w:val="en-US"/>
                </w:rPr>
              </w:pPr>
            </w:p>
            <w:p w:rsidR="00556ADE" w:rsidRPr="00821812" w:rsidRDefault="00556ADE" w:rsidP="00556ADE">
              <w:pPr>
                <w:spacing w:after="0"/>
                <w:rPr>
                  <w:sz w:val="28"/>
                  <w:szCs w:val="28"/>
                  <w:lang w:val="en-US"/>
                </w:rPr>
              </w:pPr>
            </w:p>
            <w:p w:rsidR="00556ADE" w:rsidRPr="00821812" w:rsidRDefault="00556ADE" w:rsidP="00556ADE">
              <w:pPr>
                <w:spacing w:after="0"/>
                <w:rPr>
                  <w:sz w:val="28"/>
                  <w:szCs w:val="28"/>
                  <w:lang w:val="en-US"/>
                </w:rPr>
              </w:pPr>
            </w:p>
            <w:p w:rsidR="00556ADE" w:rsidRPr="00821812" w:rsidRDefault="00556ADE" w:rsidP="00556ADE">
              <w:pPr>
                <w:spacing w:after="0"/>
                <w:rPr>
                  <w:sz w:val="28"/>
                  <w:szCs w:val="28"/>
                  <w:lang w:val="en-US"/>
                </w:rPr>
              </w:pPr>
            </w:p>
            <w:p w:rsidR="001778A8" w:rsidRPr="00821812" w:rsidRDefault="001778A8" w:rsidP="001778A8">
              <w:pPr>
                <w:rPr>
                  <w:rFonts w:ascii="Times New Roman" w:hAnsi="Times New Roman" w:cs="Times New Roman"/>
                  <w:lang w:val="en-US"/>
                </w:rPr>
              </w:pPr>
              <w:r w:rsidRPr="00821812">
                <w:rPr>
                  <w:rFonts w:ascii="Times New Roman" w:hAnsi="Times New Roman" w:cs="Times New Roman"/>
                  <w:lang w:val="en-US"/>
                </w:rPr>
                <w:t xml:space="preserve">    </w:t>
              </w:r>
            </w:p>
            <w:p w:rsidR="001778A8" w:rsidRDefault="00301985" w:rsidP="001778A8">
              <w:pPr>
                <w:pStyle w:val="afd"/>
                <w:ind w:left="720" w:hanging="720"/>
              </w:pPr>
            </w:p>
          </w:sdtContent>
        </w:sdt>
      </w:sdtContent>
    </w:sdt>
    <w:p w:rsidR="003F0860" w:rsidRPr="000744B2" w:rsidRDefault="003F0860" w:rsidP="0063243B">
      <w:pPr>
        <w:pStyle w:val="afd"/>
        <w:ind w:left="720" w:hanging="720"/>
        <w:rPr>
          <w:lang w:val="en-US"/>
        </w:rPr>
      </w:pPr>
    </w:p>
    <w:sectPr w:rsidR="003F0860" w:rsidRPr="000744B2" w:rsidSect="005651EE">
      <w:footerReference w:type="default" r:id="rId14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21" w:rsidRDefault="00BF2221" w:rsidP="005651EE">
      <w:pPr>
        <w:spacing w:after="0" w:line="240" w:lineRule="auto"/>
      </w:pPr>
      <w:r>
        <w:separator/>
      </w:r>
    </w:p>
  </w:endnote>
  <w:endnote w:type="continuationSeparator" w:id="0">
    <w:p w:rsidR="00BF2221" w:rsidRDefault="00BF2221" w:rsidP="005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759463"/>
      <w:docPartObj>
        <w:docPartGallery w:val="Page Numbers (Bottom of Page)"/>
        <w:docPartUnique/>
      </w:docPartObj>
    </w:sdtPr>
    <w:sdtContent>
      <w:p w:rsidR="00BF2221" w:rsidRDefault="00301985" w:rsidP="005651EE">
        <w:pPr>
          <w:pStyle w:val="af9"/>
          <w:ind w:firstLine="0"/>
          <w:jc w:val="center"/>
        </w:pPr>
        <w:fldSimple w:instr="PAGE   \* MERGEFORMAT">
          <w:r w:rsidR="0082181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21" w:rsidRDefault="00BF2221" w:rsidP="005651EE">
      <w:pPr>
        <w:spacing w:after="0" w:line="240" w:lineRule="auto"/>
      </w:pPr>
      <w:r>
        <w:separator/>
      </w:r>
    </w:p>
  </w:footnote>
  <w:footnote w:type="continuationSeparator" w:id="0">
    <w:p w:rsidR="00BF2221" w:rsidRDefault="00BF2221" w:rsidP="0056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B245A3"/>
    <w:multiLevelType w:val="hybridMultilevel"/>
    <w:tmpl w:val="A0AC8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5664DE"/>
    <w:multiLevelType w:val="multilevel"/>
    <w:tmpl w:val="5506290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russianLower"/>
      <w:pStyle w:val="4"/>
      <w:lvlText w:val="%4)"/>
      <w:lvlJc w:val="left"/>
      <w:pPr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E6631E6"/>
    <w:multiLevelType w:val="hybridMultilevel"/>
    <w:tmpl w:val="13808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3B1C"/>
    <w:multiLevelType w:val="hybridMultilevel"/>
    <w:tmpl w:val="E69A5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921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4580"/>
    <w:rsid w:val="0001302F"/>
    <w:rsid w:val="00023ECD"/>
    <w:rsid w:val="00041A4C"/>
    <w:rsid w:val="000744B2"/>
    <w:rsid w:val="000759D8"/>
    <w:rsid w:val="000B0749"/>
    <w:rsid w:val="000D1884"/>
    <w:rsid w:val="000D5344"/>
    <w:rsid w:val="000E7D2F"/>
    <w:rsid w:val="000F2DB5"/>
    <w:rsid w:val="00155AFB"/>
    <w:rsid w:val="00175848"/>
    <w:rsid w:val="001778A8"/>
    <w:rsid w:val="00177FD6"/>
    <w:rsid w:val="00184674"/>
    <w:rsid w:val="00184DDF"/>
    <w:rsid w:val="001A02DE"/>
    <w:rsid w:val="001C14C1"/>
    <w:rsid w:val="002240C7"/>
    <w:rsid w:val="0023768F"/>
    <w:rsid w:val="00277002"/>
    <w:rsid w:val="002A63BC"/>
    <w:rsid w:val="002A7168"/>
    <w:rsid w:val="002C5F42"/>
    <w:rsid w:val="002F793D"/>
    <w:rsid w:val="00301985"/>
    <w:rsid w:val="00301DE9"/>
    <w:rsid w:val="00302D8F"/>
    <w:rsid w:val="00370401"/>
    <w:rsid w:val="003C192A"/>
    <w:rsid w:val="003F0860"/>
    <w:rsid w:val="00407592"/>
    <w:rsid w:val="00413A21"/>
    <w:rsid w:val="00464ABB"/>
    <w:rsid w:val="00483750"/>
    <w:rsid w:val="004927F9"/>
    <w:rsid w:val="004C2049"/>
    <w:rsid w:val="004C4A0B"/>
    <w:rsid w:val="004E659E"/>
    <w:rsid w:val="004E65AD"/>
    <w:rsid w:val="004F2AFE"/>
    <w:rsid w:val="004F3A60"/>
    <w:rsid w:val="00507F39"/>
    <w:rsid w:val="00520217"/>
    <w:rsid w:val="00556ADE"/>
    <w:rsid w:val="005651EE"/>
    <w:rsid w:val="00582CAD"/>
    <w:rsid w:val="00583C8F"/>
    <w:rsid w:val="005B00F1"/>
    <w:rsid w:val="006302BE"/>
    <w:rsid w:val="0063243B"/>
    <w:rsid w:val="006E4430"/>
    <w:rsid w:val="00701631"/>
    <w:rsid w:val="0070234F"/>
    <w:rsid w:val="00706815"/>
    <w:rsid w:val="007068CD"/>
    <w:rsid w:val="007479ED"/>
    <w:rsid w:val="007504F5"/>
    <w:rsid w:val="00755A68"/>
    <w:rsid w:val="00792009"/>
    <w:rsid w:val="007B2CE0"/>
    <w:rsid w:val="007C40A8"/>
    <w:rsid w:val="00821812"/>
    <w:rsid w:val="0083448A"/>
    <w:rsid w:val="00872131"/>
    <w:rsid w:val="008C7AD7"/>
    <w:rsid w:val="008C7FEB"/>
    <w:rsid w:val="008D1B69"/>
    <w:rsid w:val="008D4580"/>
    <w:rsid w:val="00914EB8"/>
    <w:rsid w:val="00916F5E"/>
    <w:rsid w:val="00922C60"/>
    <w:rsid w:val="00945BDA"/>
    <w:rsid w:val="00964E42"/>
    <w:rsid w:val="009735C0"/>
    <w:rsid w:val="009C195B"/>
    <w:rsid w:val="009E0B0A"/>
    <w:rsid w:val="00A35125"/>
    <w:rsid w:val="00A36F09"/>
    <w:rsid w:val="00A428F7"/>
    <w:rsid w:val="00A50997"/>
    <w:rsid w:val="00A63E63"/>
    <w:rsid w:val="00A66C1D"/>
    <w:rsid w:val="00AF65BD"/>
    <w:rsid w:val="00B343C3"/>
    <w:rsid w:val="00B36C46"/>
    <w:rsid w:val="00B76B7A"/>
    <w:rsid w:val="00B97C41"/>
    <w:rsid w:val="00BD6265"/>
    <w:rsid w:val="00BF2221"/>
    <w:rsid w:val="00C1661A"/>
    <w:rsid w:val="00C2273E"/>
    <w:rsid w:val="00C71F99"/>
    <w:rsid w:val="00C8004F"/>
    <w:rsid w:val="00CA6035"/>
    <w:rsid w:val="00CA7BB5"/>
    <w:rsid w:val="00CC734E"/>
    <w:rsid w:val="00D66A3C"/>
    <w:rsid w:val="00D8015E"/>
    <w:rsid w:val="00D90639"/>
    <w:rsid w:val="00E11407"/>
    <w:rsid w:val="00E55BC8"/>
    <w:rsid w:val="00E67B44"/>
    <w:rsid w:val="00F21843"/>
    <w:rsid w:val="00F73E4B"/>
    <w:rsid w:val="00FC3ED9"/>
    <w:rsid w:val="00FD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2A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C192A"/>
    <w:pPr>
      <w:keepNext/>
      <w:keepLines/>
      <w:pageBreakBefore/>
      <w:numPr>
        <w:numId w:val="4"/>
      </w:numPr>
      <w:spacing w:before="12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FEB"/>
    <w:pPr>
      <w:keepNext/>
      <w:keepLines/>
      <w:numPr>
        <w:ilvl w:val="1"/>
        <w:numId w:val="4"/>
      </w:numPr>
      <w:spacing w:before="120"/>
      <w:ind w:left="851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8C7FEB"/>
    <w:pPr>
      <w:keepNext/>
      <w:keepLines/>
      <w:numPr>
        <w:ilvl w:val="2"/>
        <w:numId w:val="4"/>
      </w:numPr>
      <w:ind w:left="1276"/>
      <w:jc w:val="lef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4">
    <w:name w:val="heading 4"/>
    <w:basedOn w:val="a0"/>
    <w:next w:val="a"/>
    <w:link w:val="40"/>
    <w:uiPriority w:val="9"/>
    <w:unhideWhenUsed/>
    <w:qFormat/>
    <w:rsid w:val="00C8004F"/>
    <w:pPr>
      <w:keepNext/>
      <w:keepLines/>
      <w:numPr>
        <w:ilvl w:val="3"/>
        <w:numId w:val="4"/>
      </w:numPr>
      <w:ind w:hanging="580"/>
      <w:jc w:val="left"/>
      <w:outlineLvl w:val="3"/>
    </w:pPr>
    <w:rPr>
      <w:rFonts w:asciiTheme="majorHAnsi" w:eastAsiaTheme="majorEastAsia" w:hAnsiTheme="majorHAnsi" w:cstheme="majorBidi"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rsid w:val="0001302F"/>
    <w:pPr>
      <w:keepNext/>
      <w:keepLines/>
      <w:ind w:firstLine="0"/>
      <w:jc w:val="left"/>
      <w:outlineLvl w:val="4"/>
    </w:pPr>
    <w:rPr>
      <w:rFonts w:asciiTheme="majorHAnsi" w:eastAsiaTheme="majorEastAsia" w:hAnsiTheme="majorHAnsi" w:cstheme="majorBidi"/>
      <w:sz w:val="28"/>
    </w:rPr>
  </w:style>
  <w:style w:type="paragraph" w:styleId="6">
    <w:name w:val="heading 6"/>
    <w:basedOn w:val="a"/>
    <w:next w:val="a"/>
    <w:link w:val="60"/>
    <w:uiPriority w:val="9"/>
    <w:unhideWhenUsed/>
    <w:rsid w:val="0048375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75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75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75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rsid w:val="00483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483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3C19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C7FE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8C7FEB"/>
    <w:rPr>
      <w:rFonts w:asciiTheme="majorHAnsi" w:eastAsiaTheme="majorEastAsia" w:hAnsiTheme="majorHAnsi" w:cstheme="majorBidi"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C8004F"/>
    <w:rPr>
      <w:rFonts w:asciiTheme="majorHAnsi" w:eastAsiaTheme="majorEastAsia" w:hAnsiTheme="majorHAnsi" w:cstheme="majorBidi"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8C7FEB"/>
    <w:rPr>
      <w:rFonts w:asciiTheme="majorHAnsi" w:eastAsiaTheme="majorEastAsia" w:hAnsiTheme="majorHAnsi" w:cstheme="majorBidi"/>
      <w:sz w:val="28"/>
    </w:rPr>
  </w:style>
  <w:style w:type="character" w:customStyle="1" w:styleId="60">
    <w:name w:val="Заголовок 6 Знак"/>
    <w:basedOn w:val="a1"/>
    <w:link w:val="6"/>
    <w:uiPriority w:val="9"/>
    <w:rsid w:val="00483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83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83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83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"/>
    <w:uiPriority w:val="35"/>
    <w:unhideWhenUsed/>
    <w:qFormat/>
    <w:rsid w:val="00AF65BD"/>
    <w:pPr>
      <w:spacing w:line="240" w:lineRule="auto"/>
      <w:jc w:val="center"/>
    </w:pPr>
    <w:rPr>
      <w:bCs/>
      <w:szCs w:val="18"/>
    </w:rPr>
  </w:style>
  <w:style w:type="paragraph" w:styleId="a7">
    <w:name w:val="Subtitle"/>
    <w:basedOn w:val="a"/>
    <w:next w:val="a"/>
    <w:link w:val="a8"/>
    <w:uiPriority w:val="11"/>
    <w:rsid w:val="0048375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83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483750"/>
    <w:rPr>
      <w:b/>
      <w:bCs/>
    </w:rPr>
  </w:style>
  <w:style w:type="character" w:styleId="aa">
    <w:name w:val="Emphasis"/>
    <w:basedOn w:val="a1"/>
    <w:uiPriority w:val="20"/>
    <w:qFormat/>
    <w:rsid w:val="00483750"/>
    <w:rPr>
      <w:i/>
      <w:iCs/>
    </w:rPr>
  </w:style>
  <w:style w:type="paragraph" w:styleId="a0">
    <w:name w:val="No Spacing"/>
    <w:next w:val="a"/>
    <w:link w:val="ab"/>
    <w:uiPriority w:val="1"/>
    <w:qFormat/>
    <w:rsid w:val="008C7FEB"/>
    <w:pPr>
      <w:spacing w:line="360" w:lineRule="auto"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4837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75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8375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3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483750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83750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83750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83750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837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1A02DE"/>
    <w:rPr>
      <w:bCs/>
      <w:smallCaps/>
      <w:spacing w:val="5"/>
      <w:sz w:val="32"/>
    </w:rPr>
  </w:style>
  <w:style w:type="paragraph" w:styleId="af4">
    <w:name w:val="TOC Heading"/>
    <w:basedOn w:val="1"/>
    <w:next w:val="a"/>
    <w:uiPriority w:val="39"/>
    <w:unhideWhenUsed/>
    <w:qFormat/>
    <w:rsid w:val="00483750"/>
    <w:pPr>
      <w:outlineLvl w:val="9"/>
    </w:pPr>
  </w:style>
  <w:style w:type="character" w:customStyle="1" w:styleId="ab">
    <w:name w:val="Без интервала Знак"/>
    <w:basedOn w:val="a1"/>
    <w:link w:val="a0"/>
    <w:uiPriority w:val="1"/>
    <w:rsid w:val="008C7FEB"/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8D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D458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6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651EE"/>
    <w:rPr>
      <w:sz w:val="24"/>
    </w:rPr>
  </w:style>
  <w:style w:type="paragraph" w:styleId="af9">
    <w:name w:val="footer"/>
    <w:basedOn w:val="a"/>
    <w:link w:val="afa"/>
    <w:uiPriority w:val="99"/>
    <w:unhideWhenUsed/>
    <w:rsid w:val="0056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651EE"/>
    <w:rPr>
      <w:sz w:val="24"/>
    </w:rPr>
  </w:style>
  <w:style w:type="table" w:styleId="afb">
    <w:name w:val="Table Grid"/>
    <w:basedOn w:val="a2"/>
    <w:uiPriority w:val="59"/>
    <w:rsid w:val="00B9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70163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01631"/>
    <w:pPr>
      <w:spacing w:after="100"/>
      <w:ind w:left="240"/>
    </w:pPr>
  </w:style>
  <w:style w:type="character" w:styleId="afc">
    <w:name w:val="Hyperlink"/>
    <w:basedOn w:val="a1"/>
    <w:uiPriority w:val="99"/>
    <w:unhideWhenUsed/>
    <w:rsid w:val="00701631"/>
    <w:rPr>
      <w:color w:val="0000FF" w:themeColor="hyperlink"/>
      <w:u w:val="single"/>
    </w:rPr>
  </w:style>
  <w:style w:type="paragraph" w:styleId="afd">
    <w:name w:val="Bibliography"/>
    <w:basedOn w:val="a"/>
    <w:next w:val="a"/>
    <w:uiPriority w:val="37"/>
    <w:unhideWhenUsed/>
    <w:rsid w:val="00F21843"/>
  </w:style>
  <w:style w:type="paragraph" w:styleId="31">
    <w:name w:val="toc 3"/>
    <w:basedOn w:val="a"/>
    <w:next w:val="a"/>
    <w:autoRedefine/>
    <w:uiPriority w:val="39"/>
    <w:unhideWhenUsed/>
    <w:rsid w:val="00583C8F"/>
    <w:pPr>
      <w:spacing w:after="100"/>
      <w:ind w:left="480"/>
    </w:pPr>
  </w:style>
  <w:style w:type="paragraph" w:customStyle="1" w:styleId="-">
    <w:name w:val="Стиль - Структурные элементы"/>
    <w:link w:val="-0"/>
    <w:qFormat/>
    <w:rsid w:val="003F0860"/>
    <w:pPr>
      <w:keepNext/>
      <w:pageBreakBefore/>
      <w:spacing w:line="360" w:lineRule="auto"/>
      <w:jc w:val="center"/>
      <w:outlineLvl w:val="0"/>
    </w:pPr>
    <w:rPr>
      <w:smallCaps/>
      <w:sz w:val="32"/>
    </w:rPr>
  </w:style>
  <w:style w:type="paragraph" w:customStyle="1" w:styleId="-1">
    <w:name w:val="Стиль - для структурных элементов (без вынесения в содерж.)"/>
    <w:basedOn w:val="-"/>
    <w:link w:val="-2"/>
    <w:qFormat/>
    <w:rsid w:val="003F0860"/>
  </w:style>
  <w:style w:type="character" w:customStyle="1" w:styleId="-0">
    <w:name w:val="Стиль - Структурные элементы Знак"/>
    <w:basedOn w:val="a1"/>
    <w:link w:val="-"/>
    <w:rsid w:val="003F0860"/>
    <w:rPr>
      <w:smallCaps/>
      <w:sz w:val="32"/>
    </w:rPr>
  </w:style>
  <w:style w:type="paragraph" w:customStyle="1" w:styleId="-3">
    <w:name w:val="Стиль - Рисунок"/>
    <w:basedOn w:val="a"/>
    <w:link w:val="-4"/>
    <w:qFormat/>
    <w:rsid w:val="00AF65BD"/>
    <w:pPr>
      <w:keepNext/>
      <w:spacing w:line="240" w:lineRule="auto"/>
      <w:ind w:firstLine="0"/>
      <w:jc w:val="center"/>
    </w:pPr>
    <w:rPr>
      <w:noProof/>
      <w:lang w:eastAsia="ru-RU"/>
    </w:rPr>
  </w:style>
  <w:style w:type="character" w:customStyle="1" w:styleId="-2">
    <w:name w:val="Стиль - для структурных элементов (без вынесения в содерж.) Знак"/>
    <w:basedOn w:val="40"/>
    <w:link w:val="-1"/>
    <w:rsid w:val="003F0860"/>
    <w:rPr>
      <w:rFonts w:asciiTheme="majorHAnsi" w:eastAsiaTheme="majorEastAsia" w:hAnsiTheme="majorHAnsi" w:cstheme="majorBidi"/>
      <w:bCs w:val="0"/>
      <w:iCs w:val="0"/>
      <w:sz w:val="28"/>
    </w:rPr>
  </w:style>
  <w:style w:type="character" w:customStyle="1" w:styleId="-4">
    <w:name w:val="Стиль - Рисунок Знак"/>
    <w:basedOn w:val="a1"/>
    <w:link w:val="-3"/>
    <w:rsid w:val="00AF65BD"/>
    <w:rPr>
      <w:noProof/>
      <w:sz w:val="24"/>
      <w:lang w:eastAsia="ru-RU"/>
    </w:rPr>
  </w:style>
  <w:style w:type="paragraph" w:styleId="afe">
    <w:name w:val="Normal (Web)"/>
    <w:basedOn w:val="a"/>
    <w:uiPriority w:val="99"/>
    <w:unhideWhenUsed/>
    <w:rsid w:val="002A63B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кст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Abd91</b:Tag>
    <b:SourceType>JournalArticle</b:SourceType>
    <b:Guid>{075D6944-6DDB-4D4B-B208-0EF9F3EE9233}</b:Guid>
    <b:Title>Hot rotating plasma in the PSP-2 experiment</b:Title>
    <b:JournalName>Nuclear Fusion</b:JournalName>
    <b:Year>1991</b:Year>
    <b:Pages>1275-1290</b:Pages>
    <b:Author>
      <b:Author>
        <b:NameList>
          <b:Person>
            <b:Last>Abdrashitov G.F.</b:Last>
            <b:First>Beloborodov</b:First>
            <b:Middle>A.V., Volosov V.I., Kubarev V.V., Popov Yu.S., Yudin Yu.N.</b:Middle>
          </b:Person>
        </b:NameList>
      </b:Author>
    </b:Author>
    <b:Volume>31</b:Volume>
    <b:Issue>7</b:Issue>
    <b:StandardNumber>00295515</b:StandardNumber>
    <b:DOI>10.1088/0029-5515/31/7/004</b:DOI>
    <b:LCID>1033</b:LCID>
    <b:RefOrder>1</b:RefOrder>
  </b:Source>
  <b:Source>
    <b:Tag>Ake03</b:Tag>
    <b:SourceType>JournalArticle</b:SourceType>
    <b:Guid>{A30BEB45-21B0-44CC-A354-41F446881659}</b:Guid>
    <b:Title>Multimirror Open Trap GOL-3: recent results</b:Title>
    <b:JournalName>Transactions of Fusion Technology</b:JournalName>
    <b:Year>2003</b:Year>
    <b:Pages>30-36</b:Pages>
    <b:LCID>1033</b:LCID>
    <b:Author>
      <b:Author>
        <b:NameList>
          <b:Person>
            <b:Last>Akentjev R.Yu. et al.</b:Last>
          </b:Person>
        </b:NameList>
      </b:Author>
    </b:Author>
    <b:Volume>43</b:Volume>
    <b:Issue>1T</b:Issue>
    <b:RefOrder>2</b:RefOrder>
  </b:Source>
</b:Sources>
</file>

<file path=customXml/itemProps1.xml><?xml version="1.0" encoding="utf-8"?>
<ds:datastoreItem xmlns:ds="http://schemas.openxmlformats.org/officeDocument/2006/customXml" ds:itemID="{61F784D0-B4D0-49D4-823A-8FD150F1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10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Глеб Верховод</cp:lastModifiedBy>
  <cp:revision>10</cp:revision>
  <dcterms:created xsi:type="dcterms:W3CDTF">2022-01-12T07:36:00Z</dcterms:created>
  <dcterms:modified xsi:type="dcterms:W3CDTF">2022-02-01T05:13:00Z</dcterms:modified>
</cp:coreProperties>
</file>